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455F" w14:textId="77777777" w:rsidR="00745731" w:rsidRPr="0065395F" w:rsidRDefault="00745731" w:rsidP="0065395F">
      <w:pPr>
        <w:pStyle w:val="00TitleC"/>
        <w:spacing w:after="0"/>
        <w:rPr>
          <w:szCs w:val="22"/>
        </w:rPr>
      </w:pPr>
      <w:r w:rsidRPr="0065395F">
        <w:rPr>
          <w:szCs w:val="22"/>
        </w:rPr>
        <w:t xml:space="preserve">TERM SHEET </w:t>
      </w:r>
    </w:p>
    <w:p w14:paraId="5B5D7112" w14:textId="77777777" w:rsidR="00745731" w:rsidRPr="0065395F" w:rsidRDefault="00745731" w:rsidP="0065395F">
      <w:pPr>
        <w:pStyle w:val="00TitleC"/>
        <w:spacing w:after="0"/>
        <w:rPr>
          <w:szCs w:val="22"/>
        </w:rPr>
      </w:pPr>
      <w:r w:rsidRPr="0065395F">
        <w:rPr>
          <w:szCs w:val="22"/>
        </w:rPr>
        <w:t xml:space="preserve">FOR </w:t>
      </w:r>
    </w:p>
    <w:p w14:paraId="5C749304" w14:textId="5E6464A2" w:rsidR="00F43FA2" w:rsidRPr="0065395F" w:rsidRDefault="006A55F3" w:rsidP="0065395F">
      <w:pPr>
        <w:pStyle w:val="00TitleC"/>
        <w:spacing w:after="0"/>
        <w:rPr>
          <w:szCs w:val="22"/>
        </w:rPr>
      </w:pPr>
      <w:r w:rsidRPr="0065395F">
        <w:rPr>
          <w:szCs w:val="22"/>
        </w:rPr>
        <w:t>RENEWABLE GENERATION</w:t>
      </w:r>
      <w:r w:rsidR="00D12612" w:rsidRPr="0065395F">
        <w:rPr>
          <w:szCs w:val="22"/>
        </w:rPr>
        <w:t xml:space="preserve"> </w:t>
      </w:r>
    </w:p>
    <w:p w14:paraId="7DCE3F0C" w14:textId="77777777" w:rsidR="00762520" w:rsidRPr="0065395F" w:rsidRDefault="00762520" w:rsidP="0065395F">
      <w:pPr>
        <w:pStyle w:val="00TitleC"/>
        <w:spacing w:after="0"/>
        <w:rPr>
          <w:szCs w:val="22"/>
        </w:rPr>
      </w:pPr>
    </w:p>
    <w:p w14:paraId="694EEFB4" w14:textId="3060A2BE" w:rsidR="000830E2" w:rsidRPr="0065395F" w:rsidRDefault="00ED3940" w:rsidP="0065395F">
      <w:pPr>
        <w:pStyle w:val="00PlainText"/>
        <w:spacing w:after="240"/>
        <w:ind w:left="90" w:right="90"/>
        <w:rPr>
          <w:szCs w:val="22"/>
        </w:rPr>
      </w:pPr>
      <w:r w:rsidRPr="0065395F">
        <w:rPr>
          <w:rFonts w:eastAsia="Times New Roman"/>
          <w:color w:val="000000" w:themeColor="text1"/>
          <w:szCs w:val="22"/>
        </w:rPr>
        <w:t>THIS TERM SHEET FOR RENEWABLE GENERATION</w:t>
      </w:r>
      <w:r w:rsidR="00A47997" w:rsidRPr="0065395F">
        <w:rPr>
          <w:rFonts w:eastAsia="Times New Roman"/>
          <w:color w:val="000000" w:themeColor="text1"/>
          <w:szCs w:val="22"/>
        </w:rPr>
        <w:t xml:space="preserve"> </w:t>
      </w:r>
      <w:r w:rsidRPr="0065395F">
        <w:rPr>
          <w:rFonts w:eastAsia="Times New Roman"/>
          <w:color w:val="000000" w:themeColor="text1"/>
          <w:szCs w:val="22"/>
        </w:rPr>
        <w:t>(“</w:t>
      </w:r>
      <w:r w:rsidRPr="0065395F">
        <w:rPr>
          <w:rFonts w:eastAsia="Times New Roman"/>
          <w:b/>
          <w:color w:val="000000" w:themeColor="text1"/>
          <w:szCs w:val="22"/>
          <w:u w:val="single"/>
        </w:rPr>
        <w:t>Term Sheet</w:t>
      </w:r>
      <w:r w:rsidRPr="0065395F">
        <w:rPr>
          <w:rFonts w:eastAsia="Times New Roman"/>
          <w:color w:val="000000" w:themeColor="text1"/>
          <w:szCs w:val="22"/>
        </w:rPr>
        <w:t>”) is entered into as of [</w:t>
      </w:r>
      <w:r w:rsidRPr="0065395F">
        <w:rPr>
          <w:rFonts w:eastAsia="Times New Roman"/>
          <w:color w:val="000000" w:themeColor="text1"/>
          <w:szCs w:val="22"/>
          <w:highlight w:val="lightGray"/>
        </w:rPr>
        <w:t>_____</w:t>
      </w:r>
      <w:r w:rsidRPr="0065395F">
        <w:rPr>
          <w:rFonts w:eastAsia="Times New Roman"/>
          <w:color w:val="000000" w:themeColor="text1"/>
          <w:szCs w:val="22"/>
        </w:rPr>
        <w:t xml:space="preserve">], </w:t>
      </w:r>
      <w:r w:rsidR="009D57E1" w:rsidRPr="0065395F">
        <w:rPr>
          <w:rFonts w:eastAsia="Times New Roman"/>
          <w:color w:val="000000" w:themeColor="text1"/>
          <w:szCs w:val="22"/>
        </w:rPr>
        <w:t>20</w:t>
      </w:r>
      <w:r w:rsidR="009D57E1">
        <w:rPr>
          <w:rFonts w:eastAsia="Times New Roman"/>
          <w:color w:val="000000" w:themeColor="text1"/>
          <w:szCs w:val="22"/>
        </w:rPr>
        <w:t>22</w:t>
      </w:r>
      <w:r w:rsidR="009D57E1" w:rsidRPr="0065395F">
        <w:rPr>
          <w:rFonts w:eastAsia="Times New Roman"/>
          <w:color w:val="000000" w:themeColor="text1"/>
          <w:szCs w:val="22"/>
        </w:rPr>
        <w:t xml:space="preserve"> </w:t>
      </w:r>
      <w:r w:rsidRPr="0065395F">
        <w:rPr>
          <w:rFonts w:eastAsia="Times New Roman"/>
          <w:color w:val="000000" w:themeColor="text1"/>
          <w:szCs w:val="22"/>
        </w:rPr>
        <w:t>(the “</w:t>
      </w:r>
      <w:r w:rsidRPr="0065395F">
        <w:rPr>
          <w:rFonts w:eastAsia="Times New Roman"/>
          <w:b/>
          <w:color w:val="000000" w:themeColor="text1"/>
          <w:szCs w:val="22"/>
          <w:u w:val="single"/>
        </w:rPr>
        <w:t>Effective Date</w:t>
      </w:r>
      <w:r w:rsidRPr="0065395F">
        <w:rPr>
          <w:rFonts w:eastAsia="Times New Roman"/>
          <w:color w:val="000000" w:themeColor="text1"/>
          <w:szCs w:val="22"/>
        </w:rPr>
        <w:t xml:space="preserve">”), between </w:t>
      </w:r>
      <w:r w:rsidR="00885941">
        <w:rPr>
          <w:rFonts w:eastAsia="Times New Roman"/>
          <w:color w:val="000000" w:themeColor="text1"/>
          <w:szCs w:val="22"/>
        </w:rPr>
        <w:t>San Diego Community Power</w:t>
      </w:r>
      <w:r w:rsidRPr="0065395F">
        <w:rPr>
          <w:color w:val="000000" w:themeColor="text1"/>
          <w:szCs w:val="22"/>
        </w:rPr>
        <w:t xml:space="preserve"> (“</w:t>
      </w:r>
      <w:r w:rsidR="00885941">
        <w:rPr>
          <w:b/>
          <w:color w:val="000000" w:themeColor="text1"/>
          <w:szCs w:val="22"/>
          <w:u w:val="single"/>
        </w:rPr>
        <w:t>SDCP</w:t>
      </w:r>
      <w:r w:rsidRPr="0065395F">
        <w:rPr>
          <w:color w:val="000000" w:themeColor="text1"/>
          <w:szCs w:val="22"/>
        </w:rPr>
        <w:t xml:space="preserve">”) </w:t>
      </w:r>
      <w:r w:rsidRPr="0065395F">
        <w:rPr>
          <w:rFonts w:eastAsia="Times New Roman"/>
          <w:color w:val="000000" w:themeColor="text1"/>
          <w:szCs w:val="22"/>
        </w:rPr>
        <w:t>and [</w:t>
      </w:r>
      <w:r w:rsidRPr="0065395F">
        <w:rPr>
          <w:rFonts w:eastAsia="Times New Roman"/>
          <w:i/>
          <w:color w:val="000000" w:themeColor="text1"/>
          <w:szCs w:val="22"/>
          <w:highlight w:val="lightGray"/>
        </w:rPr>
        <w:t>Respondent</w:t>
      </w:r>
      <w:r w:rsidRPr="0065395F">
        <w:rPr>
          <w:rFonts w:eastAsia="Times New Roman"/>
          <w:color w:val="000000" w:themeColor="text1"/>
          <w:szCs w:val="22"/>
        </w:rPr>
        <w:t>] (“</w:t>
      </w:r>
      <w:r w:rsidRPr="0065395F">
        <w:rPr>
          <w:rFonts w:eastAsia="Times New Roman"/>
          <w:b/>
          <w:color w:val="000000" w:themeColor="text1"/>
          <w:szCs w:val="22"/>
          <w:u w:val="single"/>
        </w:rPr>
        <w:t>Respondent</w:t>
      </w:r>
      <w:r w:rsidRPr="0065395F">
        <w:rPr>
          <w:rFonts w:eastAsia="Times New Roman"/>
          <w:color w:val="000000" w:themeColor="text1"/>
          <w:szCs w:val="22"/>
        </w:rPr>
        <w:t xml:space="preserve">”).  </w:t>
      </w:r>
      <w:r w:rsidRPr="0065395F">
        <w:rPr>
          <w:szCs w:val="22"/>
        </w:rPr>
        <w:t xml:space="preserve">This Term Sheet is intended to set forth the key commercial terms and conditions to be included in a proposed agreement for the purchase and sale of </w:t>
      </w:r>
      <w:r w:rsidR="00745731" w:rsidRPr="0065395F">
        <w:rPr>
          <w:szCs w:val="22"/>
        </w:rPr>
        <w:t xml:space="preserve">renewable energy </w:t>
      </w:r>
      <w:r w:rsidRPr="0065395F">
        <w:rPr>
          <w:szCs w:val="22"/>
        </w:rPr>
        <w:t>(</w:t>
      </w:r>
      <w:r w:rsidR="007D7B51" w:rsidRPr="0065395F">
        <w:rPr>
          <w:szCs w:val="22"/>
        </w:rPr>
        <w:t xml:space="preserve">each such agreement, </w:t>
      </w:r>
      <w:r w:rsidR="00961E2C" w:rsidRPr="0065395F">
        <w:rPr>
          <w:szCs w:val="22"/>
        </w:rPr>
        <w:t>a</w:t>
      </w:r>
      <w:r w:rsidR="008F70AD" w:rsidRPr="0065395F">
        <w:rPr>
          <w:szCs w:val="22"/>
        </w:rPr>
        <w:t xml:space="preserve"> </w:t>
      </w:r>
      <w:r w:rsidRPr="0065395F">
        <w:rPr>
          <w:szCs w:val="22"/>
        </w:rPr>
        <w:t>“</w:t>
      </w:r>
      <w:r w:rsidR="004776F6" w:rsidRPr="0065395F">
        <w:rPr>
          <w:b/>
          <w:bCs/>
          <w:szCs w:val="22"/>
          <w:u w:val="single"/>
        </w:rPr>
        <w:t>PPA</w:t>
      </w:r>
      <w:r w:rsidRPr="0065395F">
        <w:rPr>
          <w:szCs w:val="22"/>
        </w:rPr>
        <w:t xml:space="preserve">”) </w:t>
      </w:r>
      <w:r w:rsidRPr="0065395F">
        <w:rPr>
          <w:rFonts w:eastAsia="Times New Roman"/>
          <w:color w:val="000000" w:themeColor="text1"/>
          <w:szCs w:val="22"/>
        </w:rPr>
        <w:t xml:space="preserve">to be negotiated between </w:t>
      </w:r>
      <w:r w:rsidR="00885941">
        <w:rPr>
          <w:rFonts w:eastAsia="Times New Roman"/>
          <w:color w:val="000000" w:themeColor="text1"/>
          <w:szCs w:val="22"/>
        </w:rPr>
        <w:t>SDCP</w:t>
      </w:r>
      <w:r w:rsidRPr="0065395F">
        <w:rPr>
          <w:color w:val="000000" w:themeColor="text1"/>
          <w:szCs w:val="22"/>
        </w:rPr>
        <w:t xml:space="preserve"> </w:t>
      </w:r>
      <w:r w:rsidRPr="0065395F">
        <w:rPr>
          <w:rFonts w:eastAsia="Times New Roman"/>
          <w:color w:val="000000" w:themeColor="text1"/>
          <w:szCs w:val="22"/>
        </w:rPr>
        <w:t>(“</w:t>
      </w:r>
      <w:r w:rsidRPr="0065395F">
        <w:rPr>
          <w:rFonts w:eastAsia="Times New Roman"/>
          <w:b/>
          <w:color w:val="000000" w:themeColor="text1"/>
          <w:szCs w:val="22"/>
          <w:u w:val="single"/>
        </w:rPr>
        <w:t>Buyer</w:t>
      </w:r>
      <w:r w:rsidRPr="0065395F">
        <w:rPr>
          <w:rFonts w:eastAsia="Times New Roman"/>
          <w:color w:val="000000" w:themeColor="text1"/>
          <w:szCs w:val="22"/>
        </w:rPr>
        <w:t>”) and [</w:t>
      </w:r>
      <w:r w:rsidRPr="0065395F">
        <w:rPr>
          <w:rFonts w:eastAsia="Times New Roman"/>
          <w:i/>
          <w:color w:val="000000" w:themeColor="text1"/>
          <w:szCs w:val="22"/>
          <w:highlight w:val="lightGray"/>
        </w:rPr>
        <w:t>e.g., Project Company LLC</w:t>
      </w:r>
      <w:r w:rsidRPr="0065395F">
        <w:rPr>
          <w:rFonts w:eastAsia="Times New Roman"/>
          <w:color w:val="000000" w:themeColor="text1"/>
          <w:szCs w:val="22"/>
        </w:rPr>
        <w:t>] (“</w:t>
      </w:r>
      <w:r w:rsidRPr="0065395F">
        <w:rPr>
          <w:rFonts w:eastAsia="Times New Roman"/>
          <w:b/>
          <w:color w:val="000000" w:themeColor="text1"/>
          <w:szCs w:val="22"/>
          <w:u w:val="single"/>
        </w:rPr>
        <w:t>Seller</w:t>
      </w:r>
      <w:r w:rsidRPr="0065395F">
        <w:rPr>
          <w:rFonts w:eastAsia="Times New Roman"/>
          <w:color w:val="000000" w:themeColor="text1"/>
          <w:szCs w:val="22"/>
        </w:rPr>
        <w:t>”) (the “</w:t>
      </w:r>
      <w:r w:rsidRPr="0065395F">
        <w:rPr>
          <w:rFonts w:eastAsia="Times New Roman"/>
          <w:b/>
          <w:color w:val="000000" w:themeColor="text1"/>
          <w:szCs w:val="22"/>
          <w:u w:val="single"/>
        </w:rPr>
        <w:t>Proposed Transaction</w:t>
      </w:r>
      <w:r w:rsidRPr="0065395F">
        <w:rPr>
          <w:rFonts w:eastAsia="Times New Roman"/>
          <w:color w:val="000000" w:themeColor="text1"/>
          <w:szCs w:val="22"/>
        </w:rPr>
        <w:t>”)</w:t>
      </w:r>
      <w:r w:rsidRPr="0065395F">
        <w:rPr>
          <w:szCs w:val="22"/>
        </w:rPr>
        <w:t xml:space="preserve">.  </w:t>
      </w:r>
      <w:r w:rsidRPr="0065395F">
        <w:rPr>
          <w:rFonts w:eastAsia="Times New Roman"/>
          <w:color w:val="000000" w:themeColor="text1"/>
          <w:szCs w:val="22"/>
        </w:rPr>
        <w:t>As used herein, Buyer and Seller are each a “</w:t>
      </w:r>
      <w:r w:rsidRPr="0065395F">
        <w:rPr>
          <w:rFonts w:eastAsia="Times New Roman"/>
          <w:b/>
          <w:color w:val="000000" w:themeColor="text1"/>
          <w:szCs w:val="22"/>
          <w:u w:val="single"/>
        </w:rPr>
        <w:t>Party</w:t>
      </w:r>
      <w:r w:rsidRPr="0065395F">
        <w:rPr>
          <w:rFonts w:eastAsia="Times New Roman"/>
          <w:color w:val="000000" w:themeColor="text1"/>
          <w:szCs w:val="22"/>
        </w:rPr>
        <w:t>” and collectively the “</w:t>
      </w:r>
      <w:r w:rsidRPr="0065395F">
        <w:rPr>
          <w:rFonts w:eastAsia="Times New Roman"/>
          <w:b/>
          <w:color w:val="000000" w:themeColor="text1"/>
          <w:szCs w:val="22"/>
          <w:u w:val="single"/>
        </w:rPr>
        <w:t>Parties</w:t>
      </w:r>
      <w:r w:rsidRPr="0065395F">
        <w:rPr>
          <w:rFonts w:eastAsia="Times New Roman"/>
          <w:color w:val="000000" w:themeColor="text1"/>
          <w:szCs w:val="22"/>
        </w:rPr>
        <w:t xml:space="preserve">.”  Notwithstanding anything herein to the contrary, until a definitive agreement is fully </w:t>
      </w:r>
      <w:proofErr w:type="gramStart"/>
      <w:r w:rsidRPr="0065395F">
        <w:rPr>
          <w:rFonts w:eastAsia="Times New Roman"/>
          <w:color w:val="000000" w:themeColor="text1"/>
          <w:szCs w:val="22"/>
        </w:rPr>
        <w:t>negotiated</w:t>
      </w:r>
      <w:proofErr w:type="gramEnd"/>
      <w:r w:rsidRPr="0065395F">
        <w:rPr>
          <w:rFonts w:eastAsia="Times New Roman"/>
          <w:color w:val="000000" w:themeColor="text1"/>
          <w:szCs w:val="22"/>
        </w:rPr>
        <w:t xml:space="preserve"> and all applicable approvals </w:t>
      </w:r>
      <w:r w:rsidR="00FC1144" w:rsidRPr="0065395F">
        <w:rPr>
          <w:rFonts w:eastAsia="Times New Roman"/>
          <w:color w:val="000000" w:themeColor="text1"/>
          <w:szCs w:val="22"/>
        </w:rPr>
        <w:t xml:space="preserve">have been received </w:t>
      </w:r>
      <w:r w:rsidRPr="0065395F">
        <w:rPr>
          <w:rFonts w:eastAsia="Times New Roman"/>
          <w:color w:val="000000" w:themeColor="text1"/>
          <w:szCs w:val="22"/>
        </w:rPr>
        <w:t xml:space="preserve">for each Party, no Party shall have any legal obligations, expressed or implied, or arising in any other manner under this Term Sheet to continue negotiations or enter into the Proposed Transaction or the </w:t>
      </w:r>
      <w:r w:rsidR="004776F6" w:rsidRPr="0065395F">
        <w:rPr>
          <w:rFonts w:eastAsia="Times New Roman"/>
          <w:color w:val="000000" w:themeColor="text1"/>
          <w:szCs w:val="22"/>
        </w:rPr>
        <w:t>PPA</w:t>
      </w:r>
      <w:r w:rsidR="000830E2" w:rsidRPr="0065395F">
        <w:rPr>
          <w:szCs w:val="22"/>
        </w:rPr>
        <w:t>.</w:t>
      </w:r>
    </w:p>
    <w:p w14:paraId="543B2299" w14:textId="50D5551E" w:rsidR="007E5E8B" w:rsidRPr="0065395F" w:rsidRDefault="006F54A7" w:rsidP="0065395F">
      <w:pPr>
        <w:pStyle w:val="ListParagraph"/>
        <w:numPr>
          <w:ilvl w:val="0"/>
          <w:numId w:val="11"/>
        </w:numPr>
        <w:spacing w:after="240"/>
        <w:ind w:hanging="720"/>
        <w:contextualSpacing/>
        <w:rPr>
          <w:rFonts w:ascii="Times New Roman" w:hAnsi="Times New Roman" w:cs="Times New Roman"/>
          <w:b/>
          <w:color w:val="000000" w:themeColor="text1"/>
        </w:rPr>
      </w:pPr>
      <w:r w:rsidRPr="0065395F">
        <w:rPr>
          <w:rFonts w:ascii="Times New Roman" w:hAnsi="Times New Roman" w:cs="Times New Roman"/>
          <w:b/>
          <w:color w:val="000000" w:themeColor="text1"/>
        </w:rPr>
        <w:t>Terms and Conditions</w:t>
      </w:r>
      <w:r w:rsidRPr="0065395F">
        <w:rPr>
          <w:rFonts w:ascii="Times New Roman" w:hAnsi="Times New Roman" w:cs="Times New Roman"/>
          <w:color w:val="000000" w:themeColor="text1"/>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6930"/>
      </w:tblGrid>
      <w:tr w:rsidR="009D372B" w:rsidRPr="0065395F" w14:paraId="52494FE3" w14:textId="77777777" w:rsidTr="00B50DE9">
        <w:tc>
          <w:tcPr>
            <w:tcW w:w="2430" w:type="dxa"/>
          </w:tcPr>
          <w:p w14:paraId="3F6F620F" w14:textId="054B4B8C" w:rsidR="009D372B" w:rsidRPr="0065395F" w:rsidRDefault="009D372B" w:rsidP="0065395F">
            <w:pPr>
              <w:pStyle w:val="00PlainText"/>
              <w:spacing w:before="120" w:after="120"/>
              <w:ind w:left="90" w:right="90"/>
              <w:jc w:val="left"/>
              <w:rPr>
                <w:b/>
                <w:szCs w:val="22"/>
              </w:rPr>
            </w:pPr>
            <w:r w:rsidRPr="0065395F">
              <w:rPr>
                <w:b/>
                <w:szCs w:val="22"/>
              </w:rPr>
              <w:t>Description of Facility</w:t>
            </w:r>
            <w:r w:rsidR="00086178" w:rsidRPr="0065395F">
              <w:rPr>
                <w:b/>
                <w:szCs w:val="22"/>
              </w:rPr>
              <w:t>:</w:t>
            </w:r>
          </w:p>
        </w:tc>
        <w:tc>
          <w:tcPr>
            <w:tcW w:w="6930" w:type="dxa"/>
          </w:tcPr>
          <w:p w14:paraId="2F11A08F" w14:textId="162A8AB7" w:rsidR="003A50E1" w:rsidRPr="0065395F" w:rsidRDefault="003A50E1" w:rsidP="00885941">
            <w:pPr>
              <w:pStyle w:val="00PlainText"/>
              <w:spacing w:before="120"/>
              <w:ind w:left="86" w:right="86"/>
              <w:jc w:val="left"/>
              <w:rPr>
                <w:szCs w:val="22"/>
              </w:rPr>
            </w:pPr>
            <w:r w:rsidRPr="0065395F">
              <w:rPr>
                <w:szCs w:val="22"/>
              </w:rPr>
              <w:t>A [</w:t>
            </w:r>
            <w:r w:rsidRPr="0065395F">
              <w:rPr>
                <w:szCs w:val="22"/>
                <w:highlight w:val="lightGray"/>
              </w:rPr>
              <w:t>___</w:t>
            </w:r>
            <w:r w:rsidRPr="0065395F">
              <w:rPr>
                <w:szCs w:val="22"/>
              </w:rPr>
              <w:t xml:space="preserve">] MW </w:t>
            </w:r>
            <w:r w:rsidR="00FA40EF" w:rsidRPr="0065395F">
              <w:rPr>
                <w:szCs w:val="22"/>
              </w:rPr>
              <w:t>[</w:t>
            </w:r>
            <w:r w:rsidR="00F43FB2" w:rsidRPr="0065395F">
              <w:rPr>
                <w:szCs w:val="22"/>
                <w:highlight w:val="lightGray"/>
              </w:rPr>
              <w:t>renewable energy generation</w:t>
            </w:r>
            <w:r w:rsidR="00FA40EF" w:rsidRPr="0065395F">
              <w:rPr>
                <w:szCs w:val="22"/>
              </w:rPr>
              <w:t>]</w:t>
            </w:r>
            <w:r w:rsidRPr="0065395F">
              <w:rPr>
                <w:szCs w:val="22"/>
              </w:rPr>
              <w:t xml:space="preserve"> project</w:t>
            </w:r>
            <w:r w:rsidR="00885941">
              <w:rPr>
                <w:szCs w:val="22"/>
              </w:rPr>
              <w:t xml:space="preserve"> </w:t>
            </w:r>
            <w:r w:rsidRPr="0065395F">
              <w:rPr>
                <w:szCs w:val="22"/>
              </w:rPr>
              <w:t xml:space="preserve">located in </w:t>
            </w:r>
            <w:r w:rsidR="00D12612" w:rsidRPr="0065395F">
              <w:rPr>
                <w:szCs w:val="22"/>
              </w:rPr>
              <w:t>[</w:t>
            </w:r>
            <w:r w:rsidR="00D12612" w:rsidRPr="0065395F">
              <w:rPr>
                <w:szCs w:val="22"/>
                <w:highlight w:val="lightGray"/>
              </w:rPr>
              <w:t>_________</w:t>
            </w:r>
            <w:r w:rsidR="00D12612" w:rsidRPr="0065395F">
              <w:rPr>
                <w:szCs w:val="22"/>
              </w:rPr>
              <w:t>] County, in the State of [</w:t>
            </w:r>
            <w:r w:rsidR="00D12612" w:rsidRPr="0065395F">
              <w:rPr>
                <w:szCs w:val="22"/>
                <w:highlight w:val="lightGray"/>
              </w:rPr>
              <w:t>_________</w:t>
            </w:r>
            <w:r w:rsidR="00D12612" w:rsidRPr="0065395F">
              <w:rPr>
                <w:szCs w:val="22"/>
              </w:rPr>
              <w:t>]</w:t>
            </w:r>
            <w:r w:rsidRPr="0065395F">
              <w:rPr>
                <w:szCs w:val="22"/>
              </w:rPr>
              <w:t>.</w:t>
            </w:r>
          </w:p>
        </w:tc>
      </w:tr>
      <w:tr w:rsidR="00F43FA2" w:rsidRPr="0065395F" w14:paraId="24AA77CA" w14:textId="77777777" w:rsidTr="00B50DE9">
        <w:tc>
          <w:tcPr>
            <w:tcW w:w="2430" w:type="dxa"/>
          </w:tcPr>
          <w:p w14:paraId="479BED0F" w14:textId="2D53FA0C" w:rsidR="00F43FA2" w:rsidRPr="0065395F" w:rsidRDefault="00F03903" w:rsidP="0065395F">
            <w:pPr>
              <w:pStyle w:val="00PlainText"/>
              <w:spacing w:before="120" w:after="120"/>
              <w:ind w:left="90" w:right="90"/>
              <w:jc w:val="left"/>
              <w:rPr>
                <w:b/>
                <w:szCs w:val="22"/>
              </w:rPr>
            </w:pPr>
            <w:r w:rsidRPr="0065395F">
              <w:rPr>
                <w:b/>
                <w:szCs w:val="22"/>
              </w:rPr>
              <w:t>Contract</w:t>
            </w:r>
            <w:r w:rsidR="00E16FF5" w:rsidRPr="0065395F">
              <w:rPr>
                <w:b/>
                <w:szCs w:val="22"/>
              </w:rPr>
              <w:t xml:space="preserve"> </w:t>
            </w:r>
            <w:r w:rsidR="00F43FA2" w:rsidRPr="0065395F">
              <w:rPr>
                <w:b/>
                <w:szCs w:val="22"/>
              </w:rPr>
              <w:t>Price:</w:t>
            </w:r>
          </w:p>
        </w:tc>
        <w:tc>
          <w:tcPr>
            <w:tcW w:w="6930" w:type="dxa"/>
          </w:tcPr>
          <w:p w14:paraId="362B5C47" w14:textId="77777777" w:rsidR="00E16FF5" w:rsidRPr="0065395F" w:rsidRDefault="00F43FA2" w:rsidP="0065395F">
            <w:pPr>
              <w:pStyle w:val="00PlainText"/>
              <w:spacing w:before="120" w:after="120"/>
              <w:ind w:left="90" w:right="90"/>
              <w:jc w:val="left"/>
              <w:rPr>
                <w:szCs w:val="22"/>
              </w:rPr>
            </w:pPr>
            <w:r w:rsidRPr="0065395F">
              <w:rPr>
                <w:szCs w:val="22"/>
              </w:rPr>
              <w:t xml:space="preserve">Generating Facility: </w:t>
            </w:r>
          </w:p>
          <w:p w14:paraId="43E22EFE" w14:textId="260558C6" w:rsidR="00F43FA2" w:rsidRPr="0065395F" w:rsidRDefault="00E16FF5" w:rsidP="0065395F">
            <w:pPr>
              <w:pStyle w:val="00PlainText"/>
              <w:ind w:left="86" w:right="86"/>
              <w:jc w:val="left"/>
              <w:rPr>
                <w:szCs w:val="22"/>
              </w:rPr>
            </w:pPr>
            <w:r w:rsidRPr="0065395F">
              <w:rPr>
                <w:szCs w:val="22"/>
              </w:rPr>
              <w:sym w:font="Wingdings" w:char="F0A8"/>
            </w:r>
            <w:r w:rsidR="00F43FA2" w:rsidRPr="0065395F">
              <w:rPr>
                <w:szCs w:val="22"/>
              </w:rPr>
              <w:t>$[</w:t>
            </w:r>
            <w:r w:rsidR="00F43FA2" w:rsidRPr="0065395F">
              <w:rPr>
                <w:szCs w:val="22"/>
                <w:highlight w:val="lightGray"/>
              </w:rPr>
              <w:t>____</w:t>
            </w:r>
            <w:r w:rsidR="00F43FA2" w:rsidRPr="0065395F">
              <w:rPr>
                <w:szCs w:val="22"/>
              </w:rPr>
              <w:t>]/MWh for all Contract Years.</w:t>
            </w:r>
          </w:p>
          <w:p w14:paraId="5731983E" w14:textId="300456F2" w:rsidR="00E16FF5" w:rsidRPr="0065395F" w:rsidRDefault="00E16FF5" w:rsidP="001773D0">
            <w:pPr>
              <w:pStyle w:val="00PlainText"/>
              <w:ind w:left="86" w:right="86"/>
              <w:jc w:val="left"/>
              <w:rPr>
                <w:szCs w:val="22"/>
              </w:rPr>
            </w:pPr>
          </w:p>
        </w:tc>
      </w:tr>
      <w:tr w:rsidR="00E16FF5" w:rsidRPr="0065395F" w14:paraId="168DA7A2" w14:textId="77777777" w:rsidTr="00B50DE9">
        <w:tc>
          <w:tcPr>
            <w:tcW w:w="2430" w:type="dxa"/>
          </w:tcPr>
          <w:p w14:paraId="226B135A" w14:textId="7D7A14E7" w:rsidR="00E16FF5" w:rsidRPr="0065395F" w:rsidRDefault="00A8116B" w:rsidP="0065395F">
            <w:pPr>
              <w:pStyle w:val="00PlainText"/>
              <w:spacing w:before="120" w:after="120"/>
              <w:ind w:left="90" w:right="90"/>
              <w:jc w:val="left"/>
              <w:rPr>
                <w:b/>
                <w:szCs w:val="22"/>
              </w:rPr>
            </w:pPr>
            <w:r w:rsidRPr="0065395F">
              <w:rPr>
                <w:b/>
                <w:szCs w:val="22"/>
              </w:rPr>
              <w:t>Settlement Point</w:t>
            </w:r>
            <w:r w:rsidR="00C10FCE" w:rsidRPr="0065395F">
              <w:rPr>
                <w:b/>
                <w:szCs w:val="22"/>
              </w:rPr>
              <w:t>:</w:t>
            </w:r>
          </w:p>
        </w:tc>
        <w:tc>
          <w:tcPr>
            <w:tcW w:w="6930" w:type="dxa"/>
          </w:tcPr>
          <w:p w14:paraId="00D21574" w14:textId="68EDD086" w:rsidR="00E16FF5" w:rsidRPr="0065395F" w:rsidRDefault="00295B6F" w:rsidP="0065395F">
            <w:pPr>
              <w:pStyle w:val="00PlainText"/>
              <w:spacing w:before="120" w:after="120"/>
              <w:ind w:left="86" w:right="86"/>
              <w:rPr>
                <w:szCs w:val="22"/>
              </w:rPr>
            </w:pPr>
            <w:r w:rsidRPr="0065395F">
              <w:rPr>
                <w:szCs w:val="22"/>
              </w:rPr>
              <w:t>The Settlement Point shall be [</w:t>
            </w:r>
            <w:r w:rsidR="00370FFC" w:rsidRPr="0054173F">
              <w:rPr>
                <w:szCs w:val="22"/>
                <w:highlight w:val="lightGray"/>
              </w:rPr>
              <w:t xml:space="preserve">e.g., </w:t>
            </w:r>
            <w:r w:rsidR="00235210" w:rsidRPr="0054173F">
              <w:rPr>
                <w:szCs w:val="22"/>
                <w:highlight w:val="lightGray"/>
              </w:rPr>
              <w:t>SP-15</w:t>
            </w:r>
            <w:r w:rsidR="00FB248D" w:rsidRPr="0054173F">
              <w:rPr>
                <w:szCs w:val="22"/>
                <w:highlight w:val="lightGray"/>
              </w:rPr>
              <w:t>/</w:t>
            </w:r>
            <w:r w:rsidR="006A2CC3">
              <w:rPr>
                <w:szCs w:val="22"/>
                <w:highlight w:val="lightGray"/>
              </w:rPr>
              <w:t>SG&amp;E DLAP/</w:t>
            </w:r>
            <w:r w:rsidR="00FB248D" w:rsidRPr="0054173F">
              <w:rPr>
                <w:szCs w:val="22"/>
                <w:highlight w:val="lightGray"/>
              </w:rPr>
              <w:t xml:space="preserve">Facility </w:t>
            </w:r>
            <w:proofErr w:type="spellStart"/>
            <w:r w:rsidR="00FB248D" w:rsidRPr="0054173F">
              <w:rPr>
                <w:szCs w:val="22"/>
                <w:highlight w:val="lightGray"/>
              </w:rPr>
              <w:t>PNode</w:t>
            </w:r>
            <w:proofErr w:type="spellEnd"/>
            <w:r w:rsidRPr="0065395F">
              <w:rPr>
                <w:szCs w:val="22"/>
              </w:rPr>
              <w:t>].</w:t>
            </w:r>
          </w:p>
        </w:tc>
      </w:tr>
      <w:tr w:rsidR="002762A2" w:rsidRPr="0065395F" w14:paraId="256D2F6E" w14:textId="77777777" w:rsidTr="00B50DE9">
        <w:tc>
          <w:tcPr>
            <w:tcW w:w="2430" w:type="dxa"/>
          </w:tcPr>
          <w:p w14:paraId="37174755" w14:textId="0F6B9C63" w:rsidR="002762A2" w:rsidRPr="0065395F" w:rsidRDefault="002762A2" w:rsidP="0065395F">
            <w:pPr>
              <w:pStyle w:val="00PlainText"/>
              <w:spacing w:before="120" w:after="120"/>
              <w:ind w:left="90" w:right="90"/>
              <w:jc w:val="left"/>
              <w:rPr>
                <w:b/>
                <w:szCs w:val="22"/>
              </w:rPr>
            </w:pPr>
            <w:r w:rsidRPr="0065395F">
              <w:rPr>
                <w:b/>
                <w:szCs w:val="22"/>
              </w:rPr>
              <w:t>Delivery Term:</w:t>
            </w:r>
          </w:p>
        </w:tc>
        <w:tc>
          <w:tcPr>
            <w:tcW w:w="6930" w:type="dxa"/>
          </w:tcPr>
          <w:p w14:paraId="1318471F" w14:textId="6136278C" w:rsidR="002762A2" w:rsidRPr="0065395F" w:rsidRDefault="002762A2" w:rsidP="0065395F">
            <w:pPr>
              <w:pStyle w:val="00PlainText"/>
              <w:spacing w:before="120" w:after="120"/>
              <w:ind w:left="90" w:right="90"/>
              <w:rPr>
                <w:szCs w:val="22"/>
              </w:rPr>
            </w:pPr>
            <w:r w:rsidRPr="0065395F">
              <w:rPr>
                <w:bCs/>
                <w:szCs w:val="22"/>
              </w:rPr>
              <w:t>[</w:t>
            </w:r>
            <w:r w:rsidRPr="0065395F">
              <w:rPr>
                <w:bCs/>
                <w:szCs w:val="22"/>
                <w:highlight w:val="lightGray"/>
              </w:rPr>
              <w:t>_</w:t>
            </w:r>
            <w:r w:rsidR="00C013C2">
              <w:rPr>
                <w:bCs/>
                <w:szCs w:val="22"/>
                <w:highlight w:val="lightGray"/>
              </w:rPr>
              <w:t>10 / 12 / 15 / 20 / 25</w:t>
            </w:r>
            <w:r w:rsidRPr="0065395F">
              <w:rPr>
                <w:bCs/>
                <w:szCs w:val="22"/>
                <w:highlight w:val="lightGray"/>
              </w:rPr>
              <w:t>__</w:t>
            </w:r>
            <w:r w:rsidRPr="0065395F">
              <w:rPr>
                <w:bCs/>
                <w:szCs w:val="22"/>
              </w:rPr>
              <w:t>]</w:t>
            </w:r>
            <w:r w:rsidRPr="0065395F">
              <w:rPr>
                <w:szCs w:val="22"/>
              </w:rPr>
              <w:t xml:space="preserve"> Contract Years.</w:t>
            </w:r>
          </w:p>
        </w:tc>
      </w:tr>
      <w:tr w:rsidR="00C9268B" w:rsidRPr="0065395F" w14:paraId="62D9B017" w14:textId="77777777" w:rsidTr="00B50DE9">
        <w:tc>
          <w:tcPr>
            <w:tcW w:w="2430" w:type="dxa"/>
          </w:tcPr>
          <w:p w14:paraId="66B1E7E8" w14:textId="172E1DD5" w:rsidR="00C9268B" w:rsidRPr="0065395F" w:rsidRDefault="00C9268B" w:rsidP="0065395F">
            <w:pPr>
              <w:pStyle w:val="00PlainText"/>
              <w:spacing w:before="120" w:after="120"/>
              <w:ind w:left="90" w:right="90"/>
              <w:jc w:val="left"/>
              <w:rPr>
                <w:b/>
                <w:szCs w:val="22"/>
              </w:rPr>
            </w:pPr>
            <w:r w:rsidRPr="0065395F">
              <w:rPr>
                <w:b/>
                <w:szCs w:val="22"/>
              </w:rPr>
              <w:t>Guaranteed Capacity:</w:t>
            </w:r>
          </w:p>
        </w:tc>
        <w:tc>
          <w:tcPr>
            <w:tcW w:w="6930" w:type="dxa"/>
          </w:tcPr>
          <w:p w14:paraId="521AA285" w14:textId="5F3B284D" w:rsidR="00C9268B" w:rsidRPr="0065395F" w:rsidRDefault="00C9268B" w:rsidP="0065395F">
            <w:pPr>
              <w:pStyle w:val="00PlainText"/>
              <w:spacing w:before="120" w:after="120"/>
              <w:ind w:left="90" w:right="90"/>
              <w:rPr>
                <w:bCs/>
                <w:szCs w:val="22"/>
              </w:rPr>
            </w:pPr>
            <w:r w:rsidRPr="0065395F">
              <w:rPr>
                <w:szCs w:val="22"/>
              </w:rPr>
              <w:t xml:space="preserve">The Generating Facility has a Guaranteed Capacity of </w:t>
            </w:r>
            <w:r w:rsidRPr="0065395F">
              <w:rPr>
                <w:bCs/>
                <w:szCs w:val="22"/>
              </w:rPr>
              <w:t>[</w:t>
            </w:r>
            <w:r w:rsidRPr="0065395F">
              <w:rPr>
                <w:bCs/>
                <w:szCs w:val="22"/>
                <w:highlight w:val="lightGray"/>
              </w:rPr>
              <w:t>XX</w:t>
            </w:r>
            <w:r w:rsidRPr="0065395F">
              <w:rPr>
                <w:bCs/>
                <w:szCs w:val="22"/>
              </w:rPr>
              <w:t>]</w:t>
            </w:r>
            <w:r w:rsidRPr="0065395F">
              <w:rPr>
                <w:szCs w:val="22"/>
              </w:rPr>
              <w:t xml:space="preserve"> MW</w:t>
            </w:r>
            <w:r w:rsidRPr="0065395F">
              <w:rPr>
                <w:szCs w:val="22"/>
                <w:vertAlign w:val="subscript"/>
              </w:rPr>
              <w:t>AC</w:t>
            </w:r>
            <w:r w:rsidRPr="0065395F">
              <w:rPr>
                <w:szCs w:val="22"/>
              </w:rPr>
              <w:t>.</w:t>
            </w:r>
          </w:p>
        </w:tc>
      </w:tr>
      <w:tr w:rsidR="009B0CB1" w:rsidRPr="0065395F" w14:paraId="55E9D32D" w14:textId="77777777" w:rsidTr="00B50DE9">
        <w:tc>
          <w:tcPr>
            <w:tcW w:w="2430" w:type="dxa"/>
          </w:tcPr>
          <w:p w14:paraId="4AAF0D55" w14:textId="6EA0BD02" w:rsidR="009B0CB1" w:rsidRPr="0065395F" w:rsidRDefault="006A4A57" w:rsidP="0065395F">
            <w:pPr>
              <w:pStyle w:val="00PlainText"/>
              <w:spacing w:before="120" w:after="120"/>
              <w:ind w:left="90" w:right="90"/>
              <w:jc w:val="left"/>
              <w:rPr>
                <w:b/>
                <w:szCs w:val="22"/>
              </w:rPr>
            </w:pPr>
            <w:r w:rsidRPr="0065395F">
              <w:rPr>
                <w:b/>
                <w:szCs w:val="22"/>
              </w:rPr>
              <w:t>Facility NQC</w:t>
            </w:r>
            <w:r w:rsidR="009B0CB1" w:rsidRPr="0065395F">
              <w:rPr>
                <w:b/>
                <w:szCs w:val="22"/>
              </w:rPr>
              <w:t>:</w:t>
            </w:r>
          </w:p>
        </w:tc>
        <w:tc>
          <w:tcPr>
            <w:tcW w:w="6930" w:type="dxa"/>
          </w:tcPr>
          <w:p w14:paraId="389F64C6" w14:textId="191C4184" w:rsidR="009B0CB1" w:rsidRPr="0065395F" w:rsidRDefault="009B0CB1" w:rsidP="0065395F">
            <w:pPr>
              <w:pStyle w:val="00PlainText"/>
              <w:spacing w:before="120" w:after="120"/>
              <w:ind w:left="90" w:right="90"/>
              <w:rPr>
                <w:szCs w:val="22"/>
              </w:rPr>
            </w:pPr>
            <w:r w:rsidRPr="0065395F">
              <w:rPr>
                <w:bCs/>
                <w:szCs w:val="22"/>
              </w:rPr>
              <w:t>Buyer is entitled to all Capacity Attributes</w:t>
            </w:r>
            <w:r w:rsidR="00E425AB">
              <w:rPr>
                <w:bCs/>
                <w:szCs w:val="22"/>
              </w:rPr>
              <w:t xml:space="preserve"> of the Facility</w:t>
            </w:r>
            <w:r w:rsidRPr="0065395F">
              <w:rPr>
                <w:bCs/>
                <w:szCs w:val="22"/>
              </w:rPr>
              <w:t>. The Net Qualifying Capacity (NQC) of the Facility is [</w:t>
            </w:r>
            <w:r w:rsidRPr="0065395F">
              <w:rPr>
                <w:bCs/>
                <w:szCs w:val="22"/>
                <w:highlight w:val="lightGray"/>
              </w:rPr>
              <w:t>XX</w:t>
            </w:r>
            <w:r w:rsidRPr="0065395F">
              <w:rPr>
                <w:bCs/>
                <w:szCs w:val="22"/>
              </w:rPr>
              <w:t>]</w:t>
            </w:r>
            <w:r w:rsidRPr="0065395F">
              <w:rPr>
                <w:szCs w:val="22"/>
              </w:rPr>
              <w:t xml:space="preserve"> MW.</w:t>
            </w:r>
            <w:r w:rsidRPr="0065395F">
              <w:rPr>
                <w:szCs w:val="22"/>
                <w:vertAlign w:val="subscript"/>
              </w:rPr>
              <w:t xml:space="preserve"> </w:t>
            </w:r>
          </w:p>
        </w:tc>
      </w:tr>
      <w:tr w:rsidR="00320C89" w:rsidRPr="0065395F" w14:paraId="00215A39" w14:textId="77777777" w:rsidTr="00B50DE9">
        <w:tc>
          <w:tcPr>
            <w:tcW w:w="2430" w:type="dxa"/>
          </w:tcPr>
          <w:p w14:paraId="65103871" w14:textId="1B530E34" w:rsidR="00320C89" w:rsidRPr="0065395F" w:rsidDel="00CB79D7" w:rsidRDefault="00320C89" w:rsidP="0065395F">
            <w:pPr>
              <w:pStyle w:val="00PlainText"/>
              <w:spacing w:before="120" w:after="120"/>
              <w:ind w:left="90" w:right="90"/>
              <w:jc w:val="left"/>
              <w:rPr>
                <w:b/>
                <w:szCs w:val="22"/>
              </w:rPr>
            </w:pPr>
            <w:r w:rsidRPr="0065395F">
              <w:rPr>
                <w:b/>
                <w:szCs w:val="22"/>
              </w:rPr>
              <w:t>RA Guarantee Date:</w:t>
            </w:r>
          </w:p>
        </w:tc>
        <w:tc>
          <w:tcPr>
            <w:tcW w:w="6930" w:type="dxa"/>
          </w:tcPr>
          <w:p w14:paraId="3A523E00" w14:textId="1C734C44" w:rsidR="00320C89" w:rsidRPr="0065395F" w:rsidRDefault="00320C89" w:rsidP="0065395F">
            <w:pPr>
              <w:spacing w:before="120" w:after="120" w:line="240" w:lineRule="auto"/>
              <w:ind w:left="88" w:right="90"/>
              <w:jc w:val="both"/>
              <w:rPr>
                <w:rFonts w:ascii="Times New Roman" w:hAnsi="Times New Roman"/>
                <w:bCs/>
              </w:rPr>
            </w:pPr>
            <w:r w:rsidRPr="0065395F">
              <w:rPr>
                <w:rFonts w:ascii="Times New Roman" w:hAnsi="Times New Roman"/>
                <w:iCs/>
              </w:rPr>
              <w:t>“</w:t>
            </w:r>
            <w:bookmarkStart w:id="0" w:name="_9kR3WTr1897FIdqgRsqro80mMD05"/>
            <w:r w:rsidRPr="0065395F">
              <w:rPr>
                <w:rFonts w:ascii="Times New Roman" w:hAnsi="Times New Roman"/>
                <w:b/>
                <w:iCs/>
                <w:u w:val="single"/>
              </w:rPr>
              <w:t>RA Guarantee Date</w:t>
            </w:r>
            <w:bookmarkEnd w:id="0"/>
            <w:r w:rsidRPr="0065395F">
              <w:rPr>
                <w:rFonts w:ascii="Times New Roman" w:hAnsi="Times New Roman"/>
                <w:iCs/>
              </w:rPr>
              <w:t xml:space="preserve">” means the date that is sixty (60) days after </w:t>
            </w:r>
            <w:bookmarkStart w:id="1" w:name="_9kMLK5YVt39A6GIMHyxqwvnmqfe1414D9FfNAF"/>
            <w:r w:rsidRPr="0065395F">
              <w:rPr>
                <w:rFonts w:ascii="Times New Roman" w:hAnsi="Times New Roman"/>
                <w:iCs/>
              </w:rPr>
              <w:t xml:space="preserve">the </w:t>
            </w:r>
            <w:r w:rsidRPr="0065395F">
              <w:rPr>
                <w:rFonts w:ascii="Times New Roman" w:hAnsi="Times New Roman"/>
              </w:rPr>
              <w:t>Commercial Operation Date</w:t>
            </w:r>
            <w:bookmarkEnd w:id="1"/>
            <w:r w:rsidRPr="0065395F">
              <w:rPr>
                <w:rFonts w:ascii="Times New Roman" w:hAnsi="Times New Roman"/>
              </w:rPr>
              <w:t>.</w:t>
            </w:r>
          </w:p>
        </w:tc>
      </w:tr>
      <w:tr w:rsidR="009B0CB1" w:rsidRPr="0065395F" w14:paraId="42961FA3" w14:textId="77777777" w:rsidTr="00B50DE9">
        <w:tc>
          <w:tcPr>
            <w:tcW w:w="2430" w:type="dxa"/>
          </w:tcPr>
          <w:p w14:paraId="022665B5" w14:textId="748A4169" w:rsidR="009B0CB1" w:rsidRPr="0065395F" w:rsidRDefault="009B0CB1" w:rsidP="0065395F">
            <w:pPr>
              <w:pStyle w:val="00PlainText"/>
              <w:spacing w:before="120" w:after="120"/>
              <w:ind w:left="90" w:right="90"/>
              <w:jc w:val="left"/>
              <w:rPr>
                <w:b/>
                <w:szCs w:val="22"/>
              </w:rPr>
            </w:pPr>
            <w:r w:rsidRPr="0065395F">
              <w:rPr>
                <w:b/>
                <w:szCs w:val="22"/>
              </w:rPr>
              <w:t>Capacity Area:</w:t>
            </w:r>
          </w:p>
        </w:tc>
        <w:tc>
          <w:tcPr>
            <w:tcW w:w="6930" w:type="dxa"/>
          </w:tcPr>
          <w:p w14:paraId="1618703A" w14:textId="41CBFEBD" w:rsidR="009B0CB1" w:rsidRPr="0065395F" w:rsidRDefault="009B0CB1" w:rsidP="0065395F">
            <w:pPr>
              <w:pStyle w:val="00PlainText"/>
              <w:spacing w:before="120" w:after="120"/>
              <w:ind w:left="90" w:right="90"/>
              <w:rPr>
                <w:bCs/>
                <w:szCs w:val="22"/>
              </w:rPr>
            </w:pPr>
            <w:r w:rsidRPr="0065395F">
              <w:rPr>
                <w:bCs/>
                <w:szCs w:val="22"/>
              </w:rPr>
              <w:t>[</w:t>
            </w:r>
            <w:r w:rsidRPr="0065395F">
              <w:rPr>
                <w:bCs/>
                <w:szCs w:val="22"/>
                <w:highlight w:val="lightGray"/>
              </w:rPr>
              <w:t>CAISO System, Sierra, Stockton, LA Basin,</w:t>
            </w:r>
            <w:r w:rsidR="00F91C30">
              <w:rPr>
                <w:bCs/>
                <w:szCs w:val="22"/>
                <w:highlight w:val="lightGray"/>
              </w:rPr>
              <w:t xml:space="preserve"> SD-IV,</w:t>
            </w:r>
            <w:r w:rsidRPr="0065395F">
              <w:rPr>
                <w:bCs/>
                <w:szCs w:val="22"/>
                <w:highlight w:val="lightGray"/>
              </w:rPr>
              <w:t xml:space="preserve"> etc.</w:t>
            </w:r>
            <w:r w:rsidRPr="0065395F">
              <w:rPr>
                <w:bCs/>
                <w:szCs w:val="22"/>
              </w:rPr>
              <w:t>]</w:t>
            </w:r>
          </w:p>
        </w:tc>
      </w:tr>
      <w:tr w:rsidR="009B0CB1" w:rsidRPr="0065395F" w14:paraId="7FC2AE62" w14:textId="77777777" w:rsidTr="00B50DE9">
        <w:tc>
          <w:tcPr>
            <w:tcW w:w="2430" w:type="dxa"/>
          </w:tcPr>
          <w:p w14:paraId="20B2799A" w14:textId="6FF6B76F" w:rsidR="009B0CB1" w:rsidRPr="0065395F" w:rsidDel="00CB79D7" w:rsidRDefault="009B0CB1" w:rsidP="0065395F">
            <w:pPr>
              <w:pStyle w:val="00PlainText"/>
              <w:spacing w:before="120" w:after="120"/>
              <w:ind w:left="90" w:right="90"/>
              <w:jc w:val="left"/>
              <w:rPr>
                <w:b/>
                <w:szCs w:val="22"/>
              </w:rPr>
            </w:pPr>
            <w:r w:rsidRPr="0065395F">
              <w:rPr>
                <w:b/>
                <w:szCs w:val="22"/>
              </w:rPr>
              <w:t>Deliverability</w:t>
            </w:r>
            <w:r w:rsidR="0065395F">
              <w:rPr>
                <w:b/>
                <w:szCs w:val="22"/>
              </w:rPr>
              <w:t>:</w:t>
            </w:r>
          </w:p>
        </w:tc>
        <w:tc>
          <w:tcPr>
            <w:tcW w:w="6930" w:type="dxa"/>
          </w:tcPr>
          <w:p w14:paraId="79EFCE1A" w14:textId="45141E2B" w:rsidR="009B0CB1" w:rsidRPr="0065395F" w:rsidRDefault="009B0CB1" w:rsidP="0065395F">
            <w:pPr>
              <w:pStyle w:val="00PlainText"/>
              <w:spacing w:before="120" w:after="120"/>
              <w:ind w:left="90" w:right="90"/>
              <w:rPr>
                <w:bCs/>
                <w:szCs w:val="22"/>
              </w:rPr>
            </w:pPr>
            <w:r w:rsidRPr="0065395F">
              <w:rPr>
                <w:szCs w:val="22"/>
              </w:rPr>
              <w:t>The Facility will have Full Capacity Deliverability Status by the Commercial Operation Date.</w:t>
            </w:r>
          </w:p>
        </w:tc>
      </w:tr>
      <w:tr w:rsidR="009B0CB1" w:rsidRPr="0065395F" w14:paraId="2E06000B" w14:textId="77777777" w:rsidTr="00B50DE9">
        <w:tc>
          <w:tcPr>
            <w:tcW w:w="2430" w:type="dxa"/>
          </w:tcPr>
          <w:p w14:paraId="516987A8" w14:textId="51EE9A94" w:rsidR="009B0CB1" w:rsidRPr="0065395F" w:rsidRDefault="009B0CB1" w:rsidP="0065395F">
            <w:pPr>
              <w:pStyle w:val="00PlainText"/>
              <w:spacing w:before="120" w:after="120"/>
              <w:ind w:left="90" w:right="90"/>
              <w:jc w:val="left"/>
              <w:rPr>
                <w:b/>
                <w:szCs w:val="22"/>
              </w:rPr>
            </w:pPr>
            <w:r w:rsidRPr="0065395F">
              <w:rPr>
                <w:b/>
                <w:szCs w:val="22"/>
              </w:rPr>
              <w:t>Scheduling Coordinator:</w:t>
            </w:r>
          </w:p>
        </w:tc>
        <w:tc>
          <w:tcPr>
            <w:tcW w:w="6930" w:type="dxa"/>
          </w:tcPr>
          <w:p w14:paraId="588629FF" w14:textId="5977CFB8" w:rsidR="009B0CB1" w:rsidRPr="0065395F" w:rsidRDefault="009B0CB1" w:rsidP="0065395F">
            <w:pPr>
              <w:pStyle w:val="00PlainText"/>
              <w:spacing w:before="120" w:after="120"/>
              <w:ind w:left="90" w:right="90"/>
              <w:rPr>
                <w:bCs/>
                <w:szCs w:val="22"/>
              </w:rPr>
            </w:pPr>
            <w:r w:rsidRPr="0065395F">
              <w:rPr>
                <w:bCs/>
                <w:szCs w:val="22"/>
              </w:rPr>
              <w:t>[</w:t>
            </w:r>
            <w:r w:rsidRPr="0065395F">
              <w:rPr>
                <w:bCs/>
                <w:szCs w:val="22"/>
                <w:highlight w:val="lightGray"/>
              </w:rPr>
              <w:t xml:space="preserve">Buyer or Buyer’s </w:t>
            </w:r>
            <w:proofErr w:type="gramStart"/>
            <w:r w:rsidRPr="0065395F">
              <w:rPr>
                <w:bCs/>
                <w:szCs w:val="22"/>
                <w:highlight w:val="lightGray"/>
              </w:rPr>
              <w:t>agent</w:t>
            </w:r>
            <w:r w:rsidRPr="0065395F">
              <w:rPr>
                <w:bCs/>
                <w:szCs w:val="22"/>
              </w:rPr>
              <w:t>][</w:t>
            </w:r>
            <w:proofErr w:type="gramEnd"/>
            <w:r w:rsidRPr="0065395F">
              <w:rPr>
                <w:bCs/>
                <w:szCs w:val="22"/>
                <w:highlight w:val="lightGray"/>
              </w:rPr>
              <w:t>Seller or Seller’s agent</w:t>
            </w:r>
            <w:r w:rsidRPr="0065395F">
              <w:rPr>
                <w:bCs/>
                <w:szCs w:val="22"/>
              </w:rPr>
              <w:t>] shall act as Scheduling Coordinator (as defined by the CAISO) or “SC” for the Facility.</w:t>
            </w:r>
          </w:p>
        </w:tc>
      </w:tr>
      <w:tr w:rsidR="009B0CB1" w:rsidRPr="0065395F" w14:paraId="4EFD37FF" w14:textId="77777777" w:rsidTr="00B50DE9">
        <w:tc>
          <w:tcPr>
            <w:tcW w:w="2430" w:type="dxa"/>
          </w:tcPr>
          <w:p w14:paraId="1B48BA31" w14:textId="3320F4E9" w:rsidR="009B0CB1" w:rsidRPr="0065395F" w:rsidRDefault="009B0CB1" w:rsidP="0065395F">
            <w:pPr>
              <w:pStyle w:val="00PlainText"/>
              <w:spacing w:before="120" w:after="120"/>
              <w:ind w:left="90" w:right="90"/>
              <w:jc w:val="left"/>
              <w:rPr>
                <w:b/>
                <w:szCs w:val="22"/>
              </w:rPr>
            </w:pPr>
            <w:r w:rsidRPr="0065395F">
              <w:rPr>
                <w:b/>
                <w:szCs w:val="22"/>
              </w:rPr>
              <w:t>Interconnection Point:</w:t>
            </w:r>
          </w:p>
        </w:tc>
        <w:tc>
          <w:tcPr>
            <w:tcW w:w="6930" w:type="dxa"/>
          </w:tcPr>
          <w:p w14:paraId="501BA106" w14:textId="1786EC50" w:rsidR="009B0CB1" w:rsidRPr="0065395F" w:rsidRDefault="009B0CB1" w:rsidP="0065395F">
            <w:pPr>
              <w:pStyle w:val="00PlainText"/>
              <w:spacing w:before="120" w:after="120"/>
              <w:ind w:left="90" w:right="90"/>
              <w:rPr>
                <w:bCs/>
                <w:szCs w:val="22"/>
              </w:rPr>
            </w:pPr>
            <w:r w:rsidRPr="0065395F">
              <w:rPr>
                <w:szCs w:val="22"/>
              </w:rPr>
              <w:t>The Facility shall interconnect to [</w:t>
            </w:r>
            <w:r w:rsidRPr="0065395F">
              <w:rPr>
                <w:i/>
                <w:szCs w:val="22"/>
                <w:highlight w:val="lightGray"/>
              </w:rPr>
              <w:t>e.g., XX substation</w:t>
            </w:r>
            <w:r w:rsidRPr="0065395F">
              <w:rPr>
                <w:szCs w:val="22"/>
              </w:rPr>
              <w:t>] (the “</w:t>
            </w:r>
            <w:r w:rsidRPr="0065395F">
              <w:rPr>
                <w:b/>
                <w:szCs w:val="22"/>
                <w:u w:val="single"/>
              </w:rPr>
              <w:t>Interconnection Point</w:t>
            </w:r>
            <w:r w:rsidRPr="0065395F">
              <w:rPr>
                <w:szCs w:val="22"/>
              </w:rPr>
              <w:t>”). Seller shall be responsible for all costs of interconnecting the Facility to the Interconnection Point.</w:t>
            </w:r>
          </w:p>
        </w:tc>
      </w:tr>
      <w:tr w:rsidR="009B0CB1" w:rsidRPr="0065395F" w14:paraId="58932923" w14:textId="77777777" w:rsidTr="00B50DE9">
        <w:tc>
          <w:tcPr>
            <w:tcW w:w="2430" w:type="dxa"/>
          </w:tcPr>
          <w:p w14:paraId="6F2B3C44" w14:textId="20EB9F0E" w:rsidR="009B0CB1" w:rsidRPr="0065395F" w:rsidRDefault="009B0CB1" w:rsidP="0065395F">
            <w:pPr>
              <w:spacing w:before="120" w:after="120" w:line="240" w:lineRule="auto"/>
              <w:ind w:left="90" w:right="90"/>
              <w:rPr>
                <w:rFonts w:ascii="Times New Roman" w:hAnsi="Times New Roman"/>
                <w:b/>
              </w:rPr>
            </w:pPr>
            <w:r w:rsidRPr="0065395F">
              <w:rPr>
                <w:rFonts w:ascii="Times New Roman" w:hAnsi="Times New Roman"/>
                <w:b/>
                <w:color w:val="282828"/>
              </w:rPr>
              <w:t>Commercial Operation Date (“</w:t>
            </w:r>
            <w:r w:rsidRPr="0065395F">
              <w:rPr>
                <w:rFonts w:ascii="Times New Roman" w:hAnsi="Times New Roman"/>
                <w:b/>
                <w:color w:val="282828"/>
                <w:u w:val="single"/>
              </w:rPr>
              <w:t>COD</w:t>
            </w:r>
            <w:r w:rsidRPr="0065395F">
              <w:rPr>
                <w:rFonts w:ascii="Times New Roman" w:hAnsi="Times New Roman"/>
                <w:b/>
                <w:color w:val="282828"/>
              </w:rPr>
              <w:t>”):</w:t>
            </w:r>
          </w:p>
        </w:tc>
        <w:tc>
          <w:tcPr>
            <w:tcW w:w="6930" w:type="dxa"/>
          </w:tcPr>
          <w:p w14:paraId="3BB46B42" w14:textId="6468ADC4" w:rsidR="009B0CB1" w:rsidRPr="0065395F" w:rsidRDefault="009B0CB1" w:rsidP="0065395F">
            <w:pPr>
              <w:pStyle w:val="00PlainText"/>
              <w:spacing w:before="120" w:after="120"/>
              <w:ind w:left="90" w:right="90"/>
              <w:rPr>
                <w:szCs w:val="22"/>
              </w:rPr>
            </w:pPr>
            <w:r w:rsidRPr="0065395F">
              <w:rPr>
                <w:szCs w:val="22"/>
              </w:rPr>
              <w:t xml:space="preserve">The COD shall be the date when </w:t>
            </w:r>
            <w:r w:rsidR="00F15A2C">
              <w:rPr>
                <w:szCs w:val="22"/>
              </w:rPr>
              <w:t>each</w:t>
            </w:r>
            <w:r w:rsidR="00F15A2C" w:rsidRPr="0065395F">
              <w:rPr>
                <w:szCs w:val="22"/>
              </w:rPr>
              <w:t xml:space="preserve"> </w:t>
            </w:r>
            <w:r w:rsidRPr="0065395F">
              <w:rPr>
                <w:szCs w:val="22"/>
              </w:rPr>
              <w:t xml:space="preserve">of the following requirements have been met to Buyer’s reasonable satisfaction, including Seller providing a </w:t>
            </w:r>
            <w:r w:rsidRPr="0065395F">
              <w:rPr>
                <w:szCs w:val="22"/>
              </w:rPr>
              <w:lastRenderedPageBreak/>
              <w:t>certificate from an independent engineer to Buyer with respect to subparts (</w:t>
            </w:r>
            <w:proofErr w:type="spellStart"/>
            <w:r w:rsidRPr="0065395F">
              <w:rPr>
                <w:szCs w:val="22"/>
              </w:rPr>
              <w:t>i</w:t>
            </w:r>
            <w:proofErr w:type="spellEnd"/>
            <w:r w:rsidRPr="0065395F">
              <w:rPr>
                <w:szCs w:val="22"/>
              </w:rPr>
              <w:t>), (ii), (iii), and (iv) (such certificate, the “</w:t>
            </w:r>
            <w:r w:rsidRPr="0065395F">
              <w:rPr>
                <w:b/>
                <w:bCs/>
                <w:szCs w:val="22"/>
                <w:u w:val="single"/>
              </w:rPr>
              <w:t>COD Certificate</w:t>
            </w:r>
            <w:r w:rsidRPr="0065395F">
              <w:rPr>
                <w:szCs w:val="22"/>
              </w:rPr>
              <w:t xml:space="preserve">”): </w:t>
            </w:r>
          </w:p>
          <w:p w14:paraId="1383A56F" w14:textId="09E5E7D4" w:rsidR="009B0CB1" w:rsidRPr="0065395F" w:rsidRDefault="009B0CB1" w:rsidP="0065395F">
            <w:pPr>
              <w:pStyle w:val="00PlainText"/>
              <w:spacing w:before="120" w:after="120"/>
              <w:ind w:left="808" w:right="90" w:hanging="540"/>
              <w:rPr>
                <w:szCs w:val="22"/>
              </w:rPr>
            </w:pPr>
            <w:r w:rsidRPr="0065395F">
              <w:rPr>
                <w:szCs w:val="22"/>
              </w:rPr>
              <w:t>(</w:t>
            </w:r>
            <w:proofErr w:type="spellStart"/>
            <w:r w:rsidRPr="0065395F">
              <w:rPr>
                <w:szCs w:val="22"/>
              </w:rPr>
              <w:t>i</w:t>
            </w:r>
            <w:proofErr w:type="spellEnd"/>
            <w:r w:rsidRPr="0065395F">
              <w:rPr>
                <w:szCs w:val="22"/>
              </w:rPr>
              <w:t>)</w:t>
            </w:r>
            <w:r w:rsidRPr="0065395F">
              <w:rPr>
                <w:szCs w:val="22"/>
              </w:rPr>
              <w:tab/>
              <w:t xml:space="preserve">Facility has met all Interconnection Agreement requirements and is capable of delivering energy from the Facility to the CAISO </w:t>
            </w:r>
            <w:proofErr w:type="gramStart"/>
            <w:r w:rsidRPr="0065395F">
              <w:rPr>
                <w:szCs w:val="22"/>
              </w:rPr>
              <w:t>Grid;</w:t>
            </w:r>
            <w:proofErr w:type="gramEnd"/>
          </w:p>
          <w:p w14:paraId="3C6E60BA" w14:textId="77777777" w:rsidR="009B0CB1" w:rsidRPr="0065395F" w:rsidRDefault="009B0CB1" w:rsidP="0065395F">
            <w:pPr>
              <w:pStyle w:val="00PlainText"/>
              <w:spacing w:before="120" w:after="120"/>
              <w:ind w:left="808" w:right="90" w:hanging="540"/>
              <w:rPr>
                <w:szCs w:val="22"/>
              </w:rPr>
            </w:pPr>
            <w:r w:rsidRPr="0065395F">
              <w:rPr>
                <w:szCs w:val="22"/>
              </w:rPr>
              <w:t>(ii)</w:t>
            </w:r>
            <w:r w:rsidRPr="0065395F">
              <w:rPr>
                <w:szCs w:val="22"/>
              </w:rPr>
              <w:tab/>
              <w:t xml:space="preserve">Commissioning of equipment has been completed in accordance with the manufacturer’s </w:t>
            </w:r>
            <w:proofErr w:type="gramStart"/>
            <w:r w:rsidRPr="0065395F">
              <w:rPr>
                <w:szCs w:val="22"/>
              </w:rPr>
              <w:t>specification;</w:t>
            </w:r>
            <w:proofErr w:type="gramEnd"/>
            <w:r w:rsidRPr="0065395F">
              <w:rPr>
                <w:szCs w:val="22"/>
              </w:rPr>
              <w:t xml:space="preserve"> </w:t>
            </w:r>
          </w:p>
          <w:p w14:paraId="71818B65" w14:textId="1EDF35EF" w:rsidR="009B0CB1" w:rsidRPr="0065395F" w:rsidRDefault="009B0CB1" w:rsidP="0065395F">
            <w:pPr>
              <w:pStyle w:val="00PlainText"/>
              <w:spacing w:before="120" w:after="120"/>
              <w:ind w:left="808" w:right="90" w:hanging="540"/>
              <w:rPr>
                <w:szCs w:val="22"/>
              </w:rPr>
            </w:pPr>
            <w:r w:rsidRPr="0065395F">
              <w:rPr>
                <w:szCs w:val="22"/>
              </w:rPr>
              <w:t>(iii)</w:t>
            </w:r>
            <w:r w:rsidRPr="0065395F">
              <w:rPr>
                <w:szCs w:val="22"/>
              </w:rPr>
              <w:tab/>
              <w:t xml:space="preserve">Ninety-five percent (95%) of Guaranteed Capacity has been installed and </w:t>
            </w:r>
            <w:proofErr w:type="gramStart"/>
            <w:r w:rsidRPr="0065395F">
              <w:rPr>
                <w:szCs w:val="22"/>
              </w:rPr>
              <w:t>commissioned;</w:t>
            </w:r>
            <w:proofErr w:type="gramEnd"/>
          </w:p>
          <w:p w14:paraId="11CD9B01" w14:textId="77777777" w:rsidR="009B0CB1" w:rsidRPr="0065395F" w:rsidRDefault="009B0CB1" w:rsidP="0065395F">
            <w:pPr>
              <w:pStyle w:val="00PlainText"/>
              <w:spacing w:before="120" w:after="120"/>
              <w:ind w:left="808" w:right="90" w:hanging="540"/>
              <w:rPr>
                <w:szCs w:val="22"/>
              </w:rPr>
            </w:pPr>
            <w:r w:rsidRPr="0065395F">
              <w:rPr>
                <w:szCs w:val="22"/>
              </w:rPr>
              <w:t>(iv)</w:t>
            </w:r>
            <w:r w:rsidRPr="0065395F">
              <w:rPr>
                <w:szCs w:val="22"/>
              </w:rPr>
              <w:tab/>
              <w:t xml:space="preserve">All applicable permits and government approvals required for the operation of the Facility have been </w:t>
            </w:r>
            <w:proofErr w:type="gramStart"/>
            <w:r w:rsidRPr="0065395F">
              <w:rPr>
                <w:szCs w:val="22"/>
              </w:rPr>
              <w:t>obtained;</w:t>
            </w:r>
            <w:proofErr w:type="gramEnd"/>
            <w:r w:rsidRPr="0065395F">
              <w:rPr>
                <w:szCs w:val="22"/>
              </w:rPr>
              <w:t xml:space="preserve"> </w:t>
            </w:r>
          </w:p>
          <w:p w14:paraId="17C02BD7" w14:textId="77777777" w:rsidR="009B0CB1" w:rsidRPr="0065395F" w:rsidRDefault="009B0CB1" w:rsidP="0065395F">
            <w:pPr>
              <w:pStyle w:val="00PlainText"/>
              <w:spacing w:before="120" w:after="120"/>
              <w:ind w:left="808" w:right="90" w:hanging="540"/>
              <w:rPr>
                <w:szCs w:val="22"/>
              </w:rPr>
            </w:pPr>
            <w:r w:rsidRPr="0065395F">
              <w:rPr>
                <w:szCs w:val="22"/>
              </w:rPr>
              <w:t>(v)</w:t>
            </w:r>
            <w:r w:rsidRPr="0065395F">
              <w:rPr>
                <w:szCs w:val="22"/>
              </w:rPr>
              <w:tab/>
              <w:t>Seller has delivered the Performance Security to Buyer; and</w:t>
            </w:r>
          </w:p>
          <w:p w14:paraId="4AFB6D4C" w14:textId="2ED61DEB" w:rsidR="009B0CB1" w:rsidRPr="0065395F" w:rsidRDefault="009B0CB1" w:rsidP="0065395F">
            <w:pPr>
              <w:pStyle w:val="00PlainText"/>
              <w:spacing w:before="120" w:after="120"/>
              <w:ind w:left="808" w:right="90" w:hanging="540"/>
              <w:rPr>
                <w:szCs w:val="22"/>
              </w:rPr>
            </w:pPr>
            <w:r w:rsidRPr="0065395F">
              <w:rPr>
                <w:szCs w:val="22"/>
              </w:rPr>
              <w:t>(vi)</w:t>
            </w:r>
            <w:r w:rsidRPr="0065395F">
              <w:rPr>
                <w:szCs w:val="22"/>
              </w:rPr>
              <w:tab/>
              <w:t>Seller has paid Buyer for all amounts owing under the PPA.</w:t>
            </w:r>
          </w:p>
          <w:p w14:paraId="68B3E633" w14:textId="7424E3B8" w:rsidR="009B0CB1" w:rsidRPr="0065395F" w:rsidRDefault="009B0CB1" w:rsidP="0065395F">
            <w:pPr>
              <w:pStyle w:val="00PlainText"/>
              <w:spacing w:before="120" w:after="120"/>
              <w:ind w:left="90" w:right="90"/>
              <w:rPr>
                <w:szCs w:val="22"/>
              </w:rPr>
            </w:pPr>
            <w:r w:rsidRPr="0065395F">
              <w:rPr>
                <w:color w:val="000000" w:themeColor="text1"/>
                <w:szCs w:val="22"/>
              </w:rPr>
              <w:t xml:space="preserve">Seller shall provide notice of expected COD to Buyer in writing no less than sixty (60) days in advance of such date.  </w:t>
            </w:r>
            <w:r w:rsidR="00FA2A59">
              <w:rPr>
                <w:color w:val="000000" w:themeColor="text1"/>
                <w:szCs w:val="22"/>
              </w:rPr>
              <w:t>Seller</w:t>
            </w:r>
            <w:r w:rsidR="00FA2A59" w:rsidRPr="0065395F">
              <w:rPr>
                <w:color w:val="000000" w:themeColor="text1"/>
                <w:szCs w:val="22"/>
              </w:rPr>
              <w:t xml:space="preserve"> </w:t>
            </w:r>
            <w:r w:rsidRPr="0065395F">
              <w:rPr>
                <w:color w:val="000000" w:themeColor="text1"/>
                <w:szCs w:val="22"/>
              </w:rPr>
              <w:t>shall notify Buyer in writing when Seller believes that it has provided the required documentation to Buyer and met the conditions for achieving COD.</w:t>
            </w:r>
            <w:r w:rsidRPr="0065395F">
              <w:rPr>
                <w:szCs w:val="22"/>
              </w:rPr>
              <w:t xml:space="preserve"> </w:t>
            </w:r>
          </w:p>
        </w:tc>
      </w:tr>
      <w:tr w:rsidR="009B0CB1" w:rsidRPr="0065395F" w14:paraId="4771863F" w14:textId="77777777" w:rsidTr="00B50DE9">
        <w:tc>
          <w:tcPr>
            <w:tcW w:w="2430" w:type="dxa"/>
          </w:tcPr>
          <w:p w14:paraId="58580D7F" w14:textId="3CB1BFE7" w:rsidR="009B0CB1" w:rsidRPr="0065395F" w:rsidRDefault="009B0CB1"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lastRenderedPageBreak/>
              <w:t>Guaranteed Construction Start Date:</w:t>
            </w:r>
          </w:p>
        </w:tc>
        <w:tc>
          <w:tcPr>
            <w:tcW w:w="6930" w:type="dxa"/>
          </w:tcPr>
          <w:p w14:paraId="0A1BC482" w14:textId="05126717" w:rsidR="009B0CB1" w:rsidRPr="0065395F" w:rsidRDefault="009B0CB1" w:rsidP="0065395F">
            <w:pPr>
              <w:spacing w:before="120" w:after="120" w:line="240" w:lineRule="auto"/>
              <w:ind w:left="88" w:right="90"/>
              <w:jc w:val="both"/>
              <w:rPr>
                <w:rFonts w:ascii="Times New Roman" w:hAnsi="Times New Roman"/>
              </w:rPr>
            </w:pPr>
            <w:r w:rsidRPr="0065395F">
              <w:rPr>
                <w:rFonts w:ascii="Times New Roman" w:hAnsi="Times New Roman"/>
              </w:rPr>
              <w:t>The “</w:t>
            </w:r>
            <w:r w:rsidRPr="0065395F">
              <w:rPr>
                <w:rFonts w:ascii="Times New Roman" w:hAnsi="Times New Roman"/>
                <w:b/>
                <w:u w:val="single"/>
              </w:rPr>
              <w:t>Guaranteed Construction Start Date</w:t>
            </w:r>
            <w:r w:rsidRPr="0065395F">
              <w:rPr>
                <w:rFonts w:ascii="Times New Roman" w:hAnsi="Times New Roman"/>
              </w:rPr>
              <w:t>” means the following date</w:t>
            </w:r>
            <w:r w:rsidR="00C61912">
              <w:rPr>
                <w:rFonts w:ascii="Times New Roman" w:hAnsi="Times New Roman"/>
              </w:rPr>
              <w:t xml:space="preserve"> of</w:t>
            </w:r>
            <w:r w:rsidRPr="0065395F">
              <w:rPr>
                <w:rFonts w:ascii="Times New Roman" w:hAnsi="Times New Roman"/>
              </w:rPr>
              <w:t xml:space="preserve"> [</w:t>
            </w:r>
            <w:r w:rsidRPr="0065395F">
              <w:rPr>
                <w:rFonts w:ascii="Times New Roman" w:hAnsi="Times New Roman"/>
                <w:highlight w:val="lightGray"/>
              </w:rPr>
              <w:t>_______</w:t>
            </w:r>
            <w:r w:rsidRPr="0065395F">
              <w:rPr>
                <w:rFonts w:ascii="Times New Roman" w:hAnsi="Times New Roman"/>
              </w:rPr>
              <w:t>], subject to extensions on a day-for-day basis due to Force Majeure or delays caused by transmission provider (e.g., the CAISO) or transmission owner (e.g., PG&amp;E) that are outside of the reasonable control of Seller. Such day-for-day extensions, including for Force Majeure, shall be no longer than one-hundred twenty (120) days on a cumulative basis. For clarity, these permitted extensions (the “</w:t>
            </w:r>
            <w:r w:rsidRPr="0065395F">
              <w:rPr>
                <w:rFonts w:ascii="Times New Roman" w:hAnsi="Times New Roman"/>
                <w:b/>
                <w:bCs/>
                <w:u w:val="single"/>
              </w:rPr>
              <w:t>Development Cure Period</w:t>
            </w:r>
            <w:r w:rsidRPr="0065395F">
              <w:rPr>
                <w:rFonts w:ascii="Times New Roman" w:hAnsi="Times New Roman"/>
              </w:rPr>
              <w:t>”) extend both the Guaranteed Construction Start Date and the Guaranteed COD simultaneously.</w:t>
            </w:r>
          </w:p>
          <w:p w14:paraId="257ECCB6" w14:textId="469AA1A9" w:rsidR="009B0CB1" w:rsidRPr="0065395F" w:rsidRDefault="009B0CB1" w:rsidP="0065395F">
            <w:pPr>
              <w:spacing w:before="120" w:after="120" w:line="240" w:lineRule="auto"/>
              <w:ind w:left="88" w:right="90"/>
              <w:jc w:val="both"/>
              <w:rPr>
                <w:rFonts w:ascii="Times New Roman" w:hAnsi="Times New Roman"/>
              </w:rPr>
            </w:pPr>
            <w:r w:rsidRPr="0065395F">
              <w:rPr>
                <w:rFonts w:ascii="Times New Roman" w:hAnsi="Times New Roman"/>
              </w:rPr>
              <w:t>Notwithstanding anything to the contrary, no extension shall be given if (</w:t>
            </w:r>
            <w:proofErr w:type="spellStart"/>
            <w:r w:rsidRPr="0065395F">
              <w:rPr>
                <w:rFonts w:ascii="Times New Roman" w:hAnsi="Times New Roman"/>
              </w:rPr>
              <w:t>i</w:t>
            </w:r>
            <w:proofErr w:type="spellEnd"/>
            <w:r w:rsidRPr="0065395F">
              <w:rPr>
                <w:rFonts w:ascii="Times New Roman" w:hAnsi="Times New Roman"/>
              </w:rPr>
              <w:t>) the delay was the result of Seller’s failure to take all commercially reasonable actions to meet its requirements and deadlines, (ii) Seller failed to provide requested documentation</w:t>
            </w:r>
            <w:r w:rsidR="00B34B30" w:rsidRPr="0065395F">
              <w:rPr>
                <w:rFonts w:ascii="Times New Roman" w:hAnsi="Times New Roman"/>
              </w:rPr>
              <w:t xml:space="preserve"> as provided below</w:t>
            </w:r>
            <w:r w:rsidRPr="0065395F">
              <w:rPr>
                <w:rFonts w:ascii="Times New Roman" w:hAnsi="Times New Roman"/>
              </w:rPr>
              <w:t xml:space="preserve">, or (iii) Seller failed to provide written notice to Buyer </w:t>
            </w:r>
            <w:r w:rsidR="002C5A91" w:rsidRPr="0065395F">
              <w:rPr>
                <w:rFonts w:ascii="Times New Roman" w:hAnsi="Times New Roman"/>
              </w:rPr>
              <w:t>as required for a Force Majeure Event</w:t>
            </w:r>
            <w:r w:rsidR="00EA7B6D" w:rsidRPr="0065395F">
              <w:rPr>
                <w:rFonts w:ascii="Times New Roman" w:hAnsi="Times New Roman"/>
              </w:rPr>
              <w:t xml:space="preserve">, if applicable, </w:t>
            </w:r>
            <w:r w:rsidR="002C5A91" w:rsidRPr="0065395F">
              <w:rPr>
                <w:rFonts w:ascii="Times New Roman" w:hAnsi="Times New Roman"/>
              </w:rPr>
              <w:t xml:space="preserve">or as </w:t>
            </w:r>
            <w:r w:rsidRPr="0065395F">
              <w:rPr>
                <w:rFonts w:ascii="Times New Roman" w:hAnsi="Times New Roman"/>
              </w:rPr>
              <w:t>required in the next sentence.  Seller shall provide prompt written notice to Buyer of a delay, but in no case more than thirty (30) days after Seller became aware of such delay, except that in the case of a delay occurring within sixty (60) days of the Guaranteed Commercial Operation Date, or after such date, Seller must provide written notice within five (5) Business Days of Seller becoming aware of such delay.  Upon request from Buyer, Seller shall provide documentation demonstrating to Buyer’s reasonable satisfaction that the delays described above did not result from Seller’s actions or failure to take commercially reasonable actions.</w:t>
            </w:r>
          </w:p>
          <w:p w14:paraId="664E5C8E" w14:textId="46000AEA" w:rsidR="009B0CB1" w:rsidRPr="0065395F" w:rsidRDefault="009B0CB1" w:rsidP="0065395F">
            <w:pPr>
              <w:spacing w:before="120" w:after="120" w:line="240" w:lineRule="auto"/>
              <w:ind w:left="88" w:right="90"/>
              <w:jc w:val="both"/>
              <w:rPr>
                <w:rFonts w:ascii="Times New Roman" w:hAnsi="Times New Roman"/>
              </w:rPr>
            </w:pPr>
            <w:proofErr w:type="gramStart"/>
            <w:r w:rsidRPr="0065395F">
              <w:rPr>
                <w:rFonts w:ascii="Times New Roman" w:hAnsi="Times New Roman"/>
              </w:rPr>
              <w:t>In the event that</w:t>
            </w:r>
            <w:proofErr w:type="gramEnd"/>
            <w:r w:rsidRPr="0065395F">
              <w:rPr>
                <w:rFonts w:ascii="Times New Roman" w:hAnsi="Times New Roman"/>
              </w:rPr>
              <w:t xml:space="preserve"> Seller fails to achieve the Guaranteed Construction Start Date, Seller shall pay delay damages to Buyer, (the “</w:t>
            </w:r>
            <w:r w:rsidRPr="0065395F">
              <w:rPr>
                <w:rFonts w:ascii="Times New Roman" w:hAnsi="Times New Roman"/>
                <w:b/>
                <w:u w:val="single"/>
              </w:rPr>
              <w:t>Construction Delay Damages</w:t>
            </w:r>
            <w:r w:rsidRPr="0065395F">
              <w:rPr>
                <w:rFonts w:ascii="Times New Roman" w:hAnsi="Times New Roman"/>
              </w:rPr>
              <w:t>”) for each day of delay, in the amount of the Development Security divided by 120. The Construction Delay Damages shall be refundable to Seller if, and only if, Seller achieves COD on or before the Guaranteed COD.</w:t>
            </w:r>
          </w:p>
          <w:p w14:paraId="450AB93F" w14:textId="4640F823" w:rsidR="009B0CB1" w:rsidRPr="0065395F" w:rsidRDefault="009B0CB1" w:rsidP="0065395F">
            <w:pPr>
              <w:spacing w:before="120" w:after="120" w:line="240" w:lineRule="auto"/>
              <w:ind w:left="88" w:right="90"/>
              <w:jc w:val="both"/>
              <w:rPr>
                <w:rFonts w:ascii="Times New Roman" w:hAnsi="Times New Roman"/>
              </w:rPr>
            </w:pPr>
            <w:r w:rsidRPr="0065395F">
              <w:rPr>
                <w:rFonts w:ascii="Times New Roman" w:hAnsi="Times New Roman"/>
              </w:rPr>
              <w:lastRenderedPageBreak/>
              <w:t xml:space="preserve">Failure to achieve Construction Start within </w:t>
            </w:r>
            <w:r w:rsidR="00FA2A59">
              <w:rPr>
                <w:rFonts w:ascii="Times New Roman" w:hAnsi="Times New Roman"/>
              </w:rPr>
              <w:t>120</w:t>
            </w:r>
            <w:r w:rsidR="00FA2A59" w:rsidRPr="0065395F">
              <w:rPr>
                <w:rFonts w:ascii="Times New Roman" w:hAnsi="Times New Roman"/>
              </w:rPr>
              <w:t xml:space="preserve"> </w:t>
            </w:r>
            <w:r w:rsidRPr="0065395F">
              <w:rPr>
                <w:rFonts w:ascii="Times New Roman" w:hAnsi="Times New Roman"/>
              </w:rPr>
              <w:t>days of the Guaranteed Construction Start Date shall constitute an Event of Default, and Buyer shall have the right, in its sole discretion, to terminate the PPA and retain the Development Security.</w:t>
            </w:r>
          </w:p>
        </w:tc>
      </w:tr>
      <w:tr w:rsidR="009B0CB1" w:rsidRPr="0065395F" w14:paraId="419AFF7B" w14:textId="77777777" w:rsidTr="00B50DE9">
        <w:tc>
          <w:tcPr>
            <w:tcW w:w="2430" w:type="dxa"/>
          </w:tcPr>
          <w:p w14:paraId="209E1229" w14:textId="1AA8502E" w:rsidR="009B0CB1" w:rsidRPr="0065395F" w:rsidRDefault="009B0CB1" w:rsidP="0065395F">
            <w:pPr>
              <w:spacing w:before="120" w:after="120" w:line="240" w:lineRule="auto"/>
              <w:ind w:left="90" w:right="90"/>
              <w:rPr>
                <w:rFonts w:ascii="Times New Roman" w:hAnsi="Times New Roman"/>
                <w:b/>
              </w:rPr>
            </w:pPr>
            <w:r w:rsidRPr="0065395F">
              <w:rPr>
                <w:rFonts w:ascii="Times New Roman" w:hAnsi="Times New Roman"/>
                <w:b/>
                <w:color w:val="282828"/>
              </w:rPr>
              <w:lastRenderedPageBreak/>
              <w:t>Guaranteed Commercial Operation Date (Guaranteed COD):</w:t>
            </w:r>
          </w:p>
        </w:tc>
        <w:tc>
          <w:tcPr>
            <w:tcW w:w="6930" w:type="dxa"/>
          </w:tcPr>
          <w:p w14:paraId="3DC1EB09" w14:textId="327645B6" w:rsidR="009B0CB1" w:rsidRPr="0065395F" w:rsidRDefault="009B0CB1" w:rsidP="0065395F">
            <w:pPr>
              <w:pStyle w:val="00PlainText"/>
              <w:spacing w:before="120" w:after="120"/>
              <w:ind w:left="88" w:right="90"/>
              <w:rPr>
                <w:szCs w:val="22"/>
              </w:rPr>
            </w:pPr>
            <w:r w:rsidRPr="0065395F">
              <w:rPr>
                <w:szCs w:val="22"/>
              </w:rPr>
              <w:t>“</w:t>
            </w:r>
            <w:r w:rsidRPr="0065395F">
              <w:rPr>
                <w:b/>
                <w:szCs w:val="22"/>
                <w:u w:val="single"/>
              </w:rPr>
              <w:t>Guaranteed Commercial Operation Date</w:t>
            </w:r>
            <w:r w:rsidRPr="0065395F">
              <w:rPr>
                <w:szCs w:val="22"/>
              </w:rPr>
              <w:t>” or “</w:t>
            </w:r>
            <w:r w:rsidRPr="0065395F">
              <w:rPr>
                <w:b/>
                <w:szCs w:val="22"/>
                <w:u w:val="single"/>
              </w:rPr>
              <w:t>Guaranteed COD</w:t>
            </w:r>
            <w:r w:rsidRPr="0065395F">
              <w:rPr>
                <w:szCs w:val="22"/>
              </w:rPr>
              <w:t xml:space="preserve">” means the following date </w:t>
            </w:r>
            <w:r w:rsidR="001E54C9">
              <w:rPr>
                <w:szCs w:val="22"/>
              </w:rPr>
              <w:t xml:space="preserve">of </w:t>
            </w:r>
            <w:r w:rsidRPr="0065395F">
              <w:rPr>
                <w:szCs w:val="22"/>
              </w:rPr>
              <w:t>[</w:t>
            </w:r>
            <w:r w:rsidRPr="0065395F">
              <w:rPr>
                <w:szCs w:val="22"/>
                <w:highlight w:val="lightGray"/>
              </w:rPr>
              <w:t>_______</w:t>
            </w:r>
            <w:r w:rsidRPr="0065395F">
              <w:rPr>
                <w:szCs w:val="22"/>
              </w:rPr>
              <w:t xml:space="preserve">], subject to extensions on a day-for-day basis under the Development Cure Period.  </w:t>
            </w:r>
          </w:p>
          <w:p w14:paraId="6234DEB4" w14:textId="77777777" w:rsidR="009B0CB1" w:rsidRPr="0065395F" w:rsidRDefault="009B0CB1" w:rsidP="0065395F">
            <w:pPr>
              <w:pStyle w:val="TableParagraph"/>
              <w:spacing w:before="120" w:after="120"/>
              <w:ind w:left="88" w:right="90"/>
              <w:jc w:val="both"/>
            </w:pPr>
            <w:r w:rsidRPr="0065395F">
              <w:t>Extensions of the Guaranteed COD for events of Force Majeure and interconnection delays shall not exceed one hundred and twenty (120) days after the Guaranteed COD.</w:t>
            </w:r>
          </w:p>
          <w:p w14:paraId="4F1364AD" w14:textId="37552353" w:rsidR="009B0CB1" w:rsidRPr="0065395F" w:rsidRDefault="009B0CB1" w:rsidP="0065395F">
            <w:pPr>
              <w:pStyle w:val="TableParagraph"/>
              <w:spacing w:before="120" w:after="120"/>
              <w:ind w:left="88" w:right="90"/>
              <w:jc w:val="both"/>
            </w:pPr>
            <w:r w:rsidRPr="0065395F">
              <w:t>If the Seller does not achieve Commercial Operation by the Guaranteed COD, Seller shall pay delay damages to Buyer (“</w:t>
            </w:r>
            <w:r w:rsidRPr="0065395F">
              <w:rPr>
                <w:b/>
                <w:bCs/>
                <w:u w:val="single"/>
              </w:rPr>
              <w:t>COD Delay Damages</w:t>
            </w:r>
            <w:r w:rsidRPr="0065395F">
              <w:t xml:space="preserve">”) for each day of delay, in the amount of the Development Security divided by 60, until Seller achieves COD. </w:t>
            </w:r>
          </w:p>
          <w:p w14:paraId="4034B89C" w14:textId="618DCF21" w:rsidR="009B0CB1" w:rsidRPr="0065395F" w:rsidRDefault="009B0CB1" w:rsidP="0065395F">
            <w:pPr>
              <w:pStyle w:val="TableParagraph"/>
              <w:spacing w:before="120" w:after="120"/>
              <w:ind w:left="88" w:right="90"/>
              <w:jc w:val="both"/>
            </w:pPr>
            <w:r w:rsidRPr="0065395F">
              <w:rPr>
                <w:color w:val="000000"/>
              </w:rPr>
              <w:t>Failure to achieve COD within 60 days of the Guaranteed COD shall constitute an Event of Default, and Buyer shall have the right, in its sole discretion, to terminate the PPA and retain the Development Security.</w:t>
            </w:r>
          </w:p>
        </w:tc>
      </w:tr>
      <w:tr w:rsidR="009B0CB1" w:rsidRPr="0065395F" w14:paraId="05933816" w14:textId="77777777" w:rsidTr="00B50DE9">
        <w:tc>
          <w:tcPr>
            <w:tcW w:w="2430" w:type="dxa"/>
          </w:tcPr>
          <w:p w14:paraId="64576DA6" w14:textId="77777777" w:rsidR="009B0CB1" w:rsidRPr="0065395F" w:rsidRDefault="009B0CB1" w:rsidP="0065395F">
            <w:pPr>
              <w:pStyle w:val="00PlainText"/>
              <w:spacing w:before="120" w:after="120"/>
              <w:ind w:left="90" w:right="90"/>
              <w:jc w:val="left"/>
              <w:rPr>
                <w:b/>
                <w:color w:val="282828"/>
                <w:szCs w:val="22"/>
              </w:rPr>
            </w:pPr>
            <w:r w:rsidRPr="0065395F">
              <w:rPr>
                <w:b/>
                <w:color w:val="282828"/>
                <w:szCs w:val="22"/>
              </w:rPr>
              <w:t>Environmental Attributes:</w:t>
            </w:r>
          </w:p>
          <w:p w14:paraId="3D0E7D39" w14:textId="77777777" w:rsidR="009B0CB1" w:rsidRPr="0065395F" w:rsidRDefault="009B0CB1" w:rsidP="0065395F">
            <w:pPr>
              <w:spacing w:before="120" w:after="120" w:line="240" w:lineRule="auto"/>
              <w:ind w:left="90" w:right="90"/>
              <w:rPr>
                <w:rFonts w:ascii="Times New Roman" w:hAnsi="Times New Roman"/>
                <w:b/>
                <w:color w:val="282828"/>
              </w:rPr>
            </w:pPr>
          </w:p>
        </w:tc>
        <w:tc>
          <w:tcPr>
            <w:tcW w:w="6930" w:type="dxa"/>
          </w:tcPr>
          <w:p w14:paraId="301F6390" w14:textId="77777777" w:rsidR="009B0CB1" w:rsidRPr="0065395F" w:rsidRDefault="009B0CB1" w:rsidP="0065395F">
            <w:pPr>
              <w:pStyle w:val="00PlainText"/>
              <w:spacing w:before="120" w:after="120"/>
              <w:ind w:left="90" w:right="90"/>
              <w:rPr>
                <w:szCs w:val="22"/>
              </w:rPr>
            </w:pPr>
            <w:r w:rsidRPr="0065395F">
              <w:rPr>
                <w:szCs w:val="22"/>
              </w:rPr>
              <w:t>Buyer shall be entitled to renewable energy credits (“</w:t>
            </w:r>
            <w:r w:rsidRPr="0065395F">
              <w:rPr>
                <w:b/>
                <w:bCs/>
                <w:szCs w:val="22"/>
                <w:u w:val="single"/>
              </w:rPr>
              <w:t>RECs</w:t>
            </w:r>
            <w:r w:rsidRPr="0065395F">
              <w:rPr>
                <w:szCs w:val="22"/>
              </w:rPr>
              <w:t>”) and any other environmental attributes associated with Generating Facility Energy.  Seller shall transfer RECs associated with the generation from the Facility for each month via WREGIS pursuant to the timelines in the WREGIS Operating Rules.</w:t>
            </w:r>
          </w:p>
          <w:p w14:paraId="6FE6D556" w14:textId="09B30C4D" w:rsidR="009B0CB1" w:rsidRPr="0065395F" w:rsidRDefault="009B0CB1" w:rsidP="0065395F">
            <w:pPr>
              <w:pStyle w:val="00PlainText"/>
              <w:spacing w:before="120" w:after="120"/>
              <w:ind w:left="90" w:right="90"/>
              <w:rPr>
                <w:szCs w:val="22"/>
              </w:rPr>
            </w:pPr>
            <w:r w:rsidRPr="0065395F">
              <w:rPr>
                <w:szCs w:val="22"/>
              </w:rPr>
              <w:t xml:space="preserve">Each party shall be responsible for setting up an account with WREGIS. </w:t>
            </w:r>
          </w:p>
        </w:tc>
      </w:tr>
      <w:tr w:rsidR="009B0CB1" w:rsidRPr="0065395F" w14:paraId="50E977D0" w14:textId="77777777" w:rsidTr="00B50DE9">
        <w:tc>
          <w:tcPr>
            <w:tcW w:w="2430" w:type="dxa"/>
          </w:tcPr>
          <w:p w14:paraId="45905C5F" w14:textId="23DE8756" w:rsidR="009B0CB1" w:rsidRPr="0065395F" w:rsidRDefault="009B0CB1" w:rsidP="0065395F">
            <w:pPr>
              <w:spacing w:before="120" w:after="120" w:line="240" w:lineRule="auto"/>
              <w:ind w:left="90" w:right="90"/>
              <w:rPr>
                <w:rFonts w:ascii="Times New Roman" w:hAnsi="Times New Roman"/>
                <w:b/>
              </w:rPr>
            </w:pPr>
            <w:r w:rsidRPr="0065395F">
              <w:rPr>
                <w:rFonts w:ascii="Times New Roman" w:hAnsi="Times New Roman"/>
                <w:b/>
                <w:color w:val="282828"/>
              </w:rPr>
              <w:t>Seller Performance Assurance:</w:t>
            </w:r>
          </w:p>
        </w:tc>
        <w:tc>
          <w:tcPr>
            <w:tcW w:w="6930" w:type="dxa"/>
          </w:tcPr>
          <w:p w14:paraId="4E567593" w14:textId="1BE4AB11" w:rsidR="009B0CB1" w:rsidRPr="0065395F" w:rsidRDefault="009B0CB1" w:rsidP="0065395F">
            <w:pPr>
              <w:pStyle w:val="00PlainText"/>
              <w:spacing w:before="120" w:after="120"/>
              <w:ind w:left="90" w:right="90"/>
              <w:rPr>
                <w:szCs w:val="22"/>
              </w:rPr>
            </w:pPr>
            <w:r w:rsidRPr="0065395F">
              <w:rPr>
                <w:szCs w:val="22"/>
              </w:rPr>
              <w:t>Seller shall post security as follows:</w:t>
            </w:r>
          </w:p>
          <w:p w14:paraId="42A717E4" w14:textId="43E06704" w:rsidR="009B0CB1" w:rsidRPr="0065395F" w:rsidRDefault="009B0CB1" w:rsidP="0065395F">
            <w:pPr>
              <w:pStyle w:val="00PlainText"/>
              <w:spacing w:before="120" w:after="120"/>
              <w:ind w:left="90" w:right="90"/>
              <w:rPr>
                <w:szCs w:val="22"/>
              </w:rPr>
            </w:pPr>
            <w:r w:rsidRPr="0065395F">
              <w:rPr>
                <w:b/>
                <w:bCs/>
                <w:szCs w:val="22"/>
              </w:rPr>
              <w:t>Development Security</w:t>
            </w:r>
            <w:r w:rsidRPr="0065395F">
              <w:rPr>
                <w:szCs w:val="22"/>
              </w:rPr>
              <w:t xml:space="preserve"> – </w:t>
            </w:r>
            <w:r w:rsidRPr="001773D0">
              <w:rPr>
                <w:szCs w:val="22"/>
              </w:rPr>
              <w:t>$</w:t>
            </w:r>
            <w:r w:rsidR="00F4105C" w:rsidRPr="001773D0">
              <w:rPr>
                <w:szCs w:val="22"/>
              </w:rPr>
              <w:t>90</w:t>
            </w:r>
            <w:r w:rsidRPr="001773D0">
              <w:rPr>
                <w:szCs w:val="22"/>
              </w:rPr>
              <w:t>/</w:t>
            </w:r>
            <w:r w:rsidRPr="0065395F">
              <w:rPr>
                <w:szCs w:val="22"/>
              </w:rPr>
              <w:t>kW of the G</w:t>
            </w:r>
            <w:r w:rsidR="007A3D46" w:rsidRPr="0065395F">
              <w:rPr>
                <w:szCs w:val="22"/>
              </w:rPr>
              <w:t xml:space="preserve">uaranteed </w:t>
            </w:r>
            <w:r w:rsidRPr="0065395F">
              <w:rPr>
                <w:szCs w:val="22"/>
              </w:rPr>
              <w:t>Capacity</w:t>
            </w:r>
          </w:p>
          <w:p w14:paraId="58EFD0DF" w14:textId="35957F45" w:rsidR="009B0CB1" w:rsidRPr="0065395F" w:rsidRDefault="009B0CB1" w:rsidP="0065395F">
            <w:pPr>
              <w:pStyle w:val="00PlainText"/>
              <w:spacing w:before="120" w:after="120"/>
              <w:ind w:left="90" w:right="90"/>
              <w:rPr>
                <w:szCs w:val="22"/>
              </w:rPr>
            </w:pPr>
            <w:r w:rsidRPr="0065395F">
              <w:rPr>
                <w:b/>
                <w:bCs/>
                <w:szCs w:val="22"/>
              </w:rPr>
              <w:t>Performance Security</w:t>
            </w:r>
            <w:r w:rsidRPr="0065395F">
              <w:rPr>
                <w:szCs w:val="22"/>
              </w:rPr>
              <w:t xml:space="preserve"> – </w:t>
            </w:r>
            <w:r w:rsidRPr="001773D0">
              <w:rPr>
                <w:szCs w:val="22"/>
              </w:rPr>
              <w:t>$</w:t>
            </w:r>
            <w:r w:rsidR="00F4105C" w:rsidRPr="001773D0">
              <w:rPr>
                <w:szCs w:val="22"/>
              </w:rPr>
              <w:t>105</w:t>
            </w:r>
            <w:r w:rsidRPr="001773D0">
              <w:rPr>
                <w:szCs w:val="22"/>
              </w:rPr>
              <w:t>/kW of</w:t>
            </w:r>
            <w:r w:rsidRPr="0065395F">
              <w:rPr>
                <w:szCs w:val="22"/>
              </w:rPr>
              <w:t xml:space="preserve"> the </w:t>
            </w:r>
            <w:r w:rsidR="007A3D46" w:rsidRPr="0065395F">
              <w:rPr>
                <w:szCs w:val="22"/>
              </w:rPr>
              <w:t>Guaranteed</w:t>
            </w:r>
            <w:r w:rsidRPr="0065395F">
              <w:rPr>
                <w:szCs w:val="22"/>
              </w:rPr>
              <w:t xml:space="preserve"> Capacity</w:t>
            </w:r>
          </w:p>
          <w:p w14:paraId="70A798B5" w14:textId="7B6D8C38" w:rsidR="009B0CB1" w:rsidRDefault="009B0CB1" w:rsidP="0065395F">
            <w:pPr>
              <w:pStyle w:val="00PlainText"/>
              <w:spacing w:before="120" w:after="120"/>
              <w:ind w:left="90" w:right="90"/>
              <w:rPr>
                <w:szCs w:val="22"/>
              </w:rPr>
            </w:pPr>
            <w:r w:rsidRPr="0065395F">
              <w:rPr>
                <w:szCs w:val="22"/>
              </w:rPr>
              <w:t>Seller shall deliver the Development Security to Buyer within thirty (30) days of the Effective Date.  Development Security shall be in the form of cash or a Letter of Credit.</w:t>
            </w:r>
          </w:p>
          <w:p w14:paraId="34A94A4A" w14:textId="0382428E" w:rsidR="001E54C9" w:rsidRPr="0065395F" w:rsidRDefault="001E54C9" w:rsidP="001E54C9">
            <w:pPr>
              <w:pStyle w:val="00PlainText"/>
              <w:spacing w:before="120" w:after="120"/>
              <w:ind w:left="90" w:right="90"/>
              <w:rPr>
                <w:szCs w:val="22"/>
              </w:rPr>
            </w:pPr>
            <w:r w:rsidRPr="0065395F">
              <w:rPr>
                <w:szCs w:val="22"/>
              </w:rPr>
              <w:t xml:space="preserve">Within five (5) Business Days following any draw by Buyer on the </w:t>
            </w:r>
            <w:r>
              <w:rPr>
                <w:szCs w:val="22"/>
              </w:rPr>
              <w:t>Development</w:t>
            </w:r>
            <w:r w:rsidRPr="0065395F">
              <w:rPr>
                <w:szCs w:val="22"/>
              </w:rPr>
              <w:t xml:space="preserve"> Security, Seller shall replenish the amount drawn such that the security is restored to the applicable amount.</w:t>
            </w:r>
          </w:p>
          <w:p w14:paraId="689A4945" w14:textId="6A003BFA" w:rsidR="009B0CB1" w:rsidRDefault="009B0CB1" w:rsidP="0065395F">
            <w:pPr>
              <w:pStyle w:val="00PlainText"/>
              <w:spacing w:before="120" w:after="120"/>
              <w:ind w:left="90" w:right="90"/>
              <w:rPr>
                <w:szCs w:val="22"/>
              </w:rPr>
            </w:pPr>
            <w:r w:rsidRPr="0065395F">
              <w:rPr>
                <w:szCs w:val="22"/>
              </w:rPr>
              <w:t>Seller shall deliver Performance Security to Buyer on or before the Commercial Operation Date.</w:t>
            </w:r>
          </w:p>
          <w:p w14:paraId="4E348BF1" w14:textId="503C58BD" w:rsidR="009B0CB1" w:rsidRPr="0065395F" w:rsidRDefault="009B0CB1" w:rsidP="0065395F">
            <w:pPr>
              <w:pStyle w:val="00PlainText"/>
              <w:spacing w:before="120" w:after="120"/>
              <w:ind w:left="90" w:right="90"/>
              <w:rPr>
                <w:szCs w:val="22"/>
              </w:rPr>
            </w:pPr>
            <w:r w:rsidRPr="0065395F">
              <w:rPr>
                <w:szCs w:val="22"/>
              </w:rPr>
              <w:t>Within five (5) Business Days following any draw by Buyer on the Performance Security, Seller shall replenish the amount drawn such that the security is restored to the applicable amount.</w:t>
            </w:r>
          </w:p>
        </w:tc>
      </w:tr>
      <w:tr w:rsidR="00EA0A46" w:rsidRPr="0065395F" w14:paraId="7637555B" w14:textId="77777777" w:rsidTr="00B50DE9">
        <w:tc>
          <w:tcPr>
            <w:tcW w:w="2430" w:type="dxa"/>
          </w:tcPr>
          <w:p w14:paraId="0E9AC756" w14:textId="070AAD31" w:rsidR="00EA0A46" w:rsidRPr="0065395F" w:rsidRDefault="00EA0A46"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t>Expected Energy:</w:t>
            </w:r>
          </w:p>
        </w:tc>
        <w:tc>
          <w:tcPr>
            <w:tcW w:w="6930" w:type="dxa"/>
          </w:tcPr>
          <w:p w14:paraId="62DDE8C2" w14:textId="0A6BE803" w:rsidR="00EA0A46" w:rsidRPr="0065395F" w:rsidRDefault="00EA0A46" w:rsidP="0065395F">
            <w:pPr>
              <w:pStyle w:val="00PlainText"/>
              <w:spacing w:before="120" w:after="120"/>
              <w:ind w:left="90" w:right="90"/>
              <w:rPr>
                <w:szCs w:val="22"/>
              </w:rPr>
            </w:pPr>
            <w:r w:rsidRPr="0065395F">
              <w:rPr>
                <w:bCs/>
                <w:szCs w:val="22"/>
              </w:rPr>
              <w:t>“</w:t>
            </w:r>
            <w:r w:rsidRPr="0065395F">
              <w:rPr>
                <w:b/>
                <w:szCs w:val="22"/>
                <w:u w:val="single"/>
              </w:rPr>
              <w:t>Expected Energy</w:t>
            </w:r>
            <w:r w:rsidRPr="0065395F">
              <w:rPr>
                <w:bCs/>
                <w:szCs w:val="22"/>
              </w:rPr>
              <w:t>”</w:t>
            </w:r>
            <w:r w:rsidRPr="0065395F">
              <w:rPr>
                <w:szCs w:val="22"/>
              </w:rPr>
              <w:t xml:space="preserve"> means</w:t>
            </w:r>
            <w:r w:rsidRPr="0065395F">
              <w:rPr>
                <w:b/>
                <w:bCs/>
                <w:szCs w:val="22"/>
              </w:rPr>
              <w:t xml:space="preserve"> </w:t>
            </w:r>
            <w:r w:rsidRPr="0065395F">
              <w:rPr>
                <w:szCs w:val="22"/>
              </w:rPr>
              <w:t>[</w:t>
            </w:r>
            <w:proofErr w:type="gramStart"/>
            <w:r w:rsidRPr="0065395F">
              <w:rPr>
                <w:szCs w:val="22"/>
                <w:highlight w:val="lightGray"/>
              </w:rPr>
              <w:t>XXX,XXX</w:t>
            </w:r>
            <w:proofErr w:type="gramEnd"/>
            <w:r w:rsidRPr="0065395F">
              <w:rPr>
                <w:szCs w:val="22"/>
              </w:rPr>
              <w:t>] MWh during the first Contract Year</w:t>
            </w:r>
            <w:r w:rsidRPr="0065395F" w:rsidDel="00245294">
              <w:rPr>
                <w:szCs w:val="22"/>
              </w:rPr>
              <w:t xml:space="preserve"> </w:t>
            </w:r>
            <w:r w:rsidRPr="0065395F">
              <w:rPr>
                <w:szCs w:val="22"/>
              </w:rPr>
              <w:t xml:space="preserve">and for each Contract Year thereafter during the Delivery Term.  </w:t>
            </w:r>
          </w:p>
        </w:tc>
      </w:tr>
      <w:tr w:rsidR="00DA11F3" w:rsidRPr="0065395F" w14:paraId="43B7C045" w14:textId="77777777" w:rsidTr="00B50DE9">
        <w:tc>
          <w:tcPr>
            <w:tcW w:w="2430" w:type="dxa"/>
          </w:tcPr>
          <w:p w14:paraId="145E4908" w14:textId="77777777" w:rsidR="00DA11F3" w:rsidRPr="0065395F" w:rsidRDefault="00DA11F3"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lastRenderedPageBreak/>
              <w:t>Guaranteed Energy Production:</w:t>
            </w:r>
          </w:p>
          <w:p w14:paraId="5DBEA0BB" w14:textId="77777777" w:rsidR="00DA11F3" w:rsidRPr="0065395F" w:rsidRDefault="00DA11F3" w:rsidP="0065395F">
            <w:pPr>
              <w:spacing w:before="120" w:after="120" w:line="240" w:lineRule="auto"/>
              <w:ind w:left="90" w:right="90"/>
              <w:rPr>
                <w:rFonts w:ascii="Times New Roman" w:hAnsi="Times New Roman"/>
                <w:b/>
                <w:color w:val="282828"/>
              </w:rPr>
            </w:pPr>
          </w:p>
        </w:tc>
        <w:tc>
          <w:tcPr>
            <w:tcW w:w="6930" w:type="dxa"/>
          </w:tcPr>
          <w:p w14:paraId="002477F9" w14:textId="77777777" w:rsidR="00DA11F3" w:rsidRPr="0065395F" w:rsidRDefault="00DA11F3" w:rsidP="0065395F">
            <w:pPr>
              <w:spacing w:before="120" w:after="120" w:line="240" w:lineRule="auto"/>
              <w:ind w:left="88" w:right="90"/>
              <w:jc w:val="both"/>
              <w:outlineLvl w:val="3"/>
              <w:rPr>
                <w:rFonts w:ascii="Times New Roman" w:hAnsi="Times New Roman"/>
              </w:rPr>
            </w:pPr>
            <w:r w:rsidRPr="0065395F">
              <w:rPr>
                <w:rFonts w:ascii="Times New Roman" w:hAnsi="Times New Roman"/>
              </w:rPr>
              <w:t xml:space="preserve">Seller </w:t>
            </w:r>
            <w:r w:rsidRPr="0065395F">
              <w:rPr>
                <w:rFonts w:ascii="Times New Roman" w:hAnsi="Times New Roman"/>
                <w:color w:val="000000" w:themeColor="text1"/>
              </w:rPr>
              <w:t>shall deliver to Buyer no less than the Guaranteed Energy Production in each Performance Measurement Period</w:t>
            </w:r>
            <w:r w:rsidRPr="0065395F">
              <w:rPr>
                <w:rFonts w:ascii="Times New Roman" w:hAnsi="Times New Roman"/>
              </w:rPr>
              <w:t>.</w:t>
            </w:r>
          </w:p>
          <w:p w14:paraId="121B4A8D" w14:textId="77777777" w:rsidR="00DA11F3" w:rsidRPr="0065395F" w:rsidRDefault="00DA11F3" w:rsidP="0065395F">
            <w:pPr>
              <w:spacing w:before="120" w:after="120" w:line="240" w:lineRule="auto"/>
              <w:ind w:left="88" w:right="90"/>
              <w:jc w:val="both"/>
              <w:outlineLvl w:val="3"/>
              <w:rPr>
                <w:rFonts w:ascii="Times New Roman" w:hAnsi="Times New Roman"/>
              </w:rPr>
            </w:pPr>
            <w:r w:rsidRPr="0065395F">
              <w:rPr>
                <w:rFonts w:ascii="Times New Roman" w:hAnsi="Times New Roman"/>
              </w:rPr>
              <w:t>The “</w:t>
            </w:r>
            <w:r w:rsidRPr="0065395F">
              <w:rPr>
                <w:rFonts w:ascii="Times New Roman" w:hAnsi="Times New Roman"/>
                <w:b/>
                <w:bCs/>
                <w:color w:val="000000" w:themeColor="text1"/>
                <w:u w:val="single"/>
              </w:rPr>
              <w:t>Guaranteed Energy Production</w:t>
            </w:r>
            <w:r w:rsidRPr="0065395F">
              <w:rPr>
                <w:rFonts w:ascii="Times New Roman" w:hAnsi="Times New Roman"/>
              </w:rPr>
              <w:t xml:space="preserve">” </w:t>
            </w:r>
            <w:r w:rsidRPr="0065395F">
              <w:rPr>
                <w:rFonts w:ascii="Times New Roman" w:hAnsi="Times New Roman"/>
                <w:color w:val="000000" w:themeColor="text1"/>
              </w:rPr>
              <w:t>means an amount of Energy, as measured in MWh, equal to the total Expected Energy for the applicable Performance Measurement Period</w:t>
            </w:r>
            <w:r w:rsidRPr="0065395F">
              <w:rPr>
                <w:rFonts w:ascii="Times New Roman" w:hAnsi="Times New Roman"/>
              </w:rPr>
              <w:t xml:space="preserve"> multiplied by the applicable percentage, based on technology type:</w:t>
            </w:r>
          </w:p>
          <w:p w14:paraId="0E38ECEC" w14:textId="77777777" w:rsidR="00DA11F3" w:rsidRPr="0065395F" w:rsidRDefault="00DA11F3" w:rsidP="0065395F">
            <w:pPr>
              <w:pStyle w:val="ListParagraph"/>
              <w:numPr>
                <w:ilvl w:val="0"/>
                <w:numId w:val="12"/>
              </w:numPr>
              <w:ind w:left="808" w:right="90"/>
              <w:jc w:val="both"/>
              <w:outlineLvl w:val="3"/>
              <w:rPr>
                <w:rFonts w:ascii="Times New Roman" w:hAnsi="Times New Roman" w:cs="Times New Roman"/>
              </w:rPr>
            </w:pPr>
            <w:r w:rsidRPr="0065395F">
              <w:rPr>
                <w:rFonts w:ascii="Times New Roman" w:hAnsi="Times New Roman" w:cs="Times New Roman"/>
              </w:rPr>
              <w:t>Geothermal</w:t>
            </w:r>
            <w:r w:rsidRPr="001773D0">
              <w:rPr>
                <w:rFonts w:ascii="Times New Roman" w:hAnsi="Times New Roman" w:cs="Times New Roman"/>
              </w:rPr>
              <w:t>: 90%</w:t>
            </w:r>
          </w:p>
          <w:p w14:paraId="38E5C784" w14:textId="53B05E92" w:rsidR="00DA11F3" w:rsidRPr="0065395F" w:rsidRDefault="00F4105C" w:rsidP="0065395F">
            <w:pPr>
              <w:pStyle w:val="ListParagraph"/>
              <w:numPr>
                <w:ilvl w:val="0"/>
                <w:numId w:val="12"/>
              </w:numPr>
              <w:ind w:left="808" w:right="90"/>
              <w:jc w:val="both"/>
              <w:outlineLvl w:val="3"/>
              <w:rPr>
                <w:rFonts w:ascii="Times New Roman" w:hAnsi="Times New Roman" w:cs="Times New Roman"/>
              </w:rPr>
            </w:pPr>
            <w:r>
              <w:rPr>
                <w:rFonts w:ascii="Times New Roman" w:hAnsi="Times New Roman" w:cs="Times New Roman"/>
              </w:rPr>
              <w:t>Biomass</w:t>
            </w:r>
            <w:r w:rsidR="00DA11F3" w:rsidRPr="0065395F">
              <w:rPr>
                <w:rFonts w:ascii="Times New Roman" w:hAnsi="Times New Roman" w:cs="Times New Roman"/>
              </w:rPr>
              <w:t xml:space="preserve">: </w:t>
            </w:r>
            <w:r w:rsidR="00C20C6E">
              <w:rPr>
                <w:rFonts w:ascii="Times New Roman" w:hAnsi="Times New Roman" w:cs="Times New Roman"/>
              </w:rPr>
              <w:t>90</w:t>
            </w:r>
            <w:r w:rsidR="00DA11F3" w:rsidRPr="0065395F">
              <w:rPr>
                <w:rFonts w:ascii="Times New Roman" w:hAnsi="Times New Roman" w:cs="Times New Roman"/>
              </w:rPr>
              <w:t>%</w:t>
            </w:r>
          </w:p>
          <w:p w14:paraId="6223EC1E" w14:textId="77777777" w:rsidR="00DA11F3" w:rsidRPr="0065395F" w:rsidRDefault="00DA11F3" w:rsidP="0065395F">
            <w:pPr>
              <w:spacing w:before="120" w:after="120" w:line="240" w:lineRule="auto"/>
              <w:ind w:left="88" w:right="90"/>
              <w:jc w:val="both"/>
              <w:rPr>
                <w:rFonts w:ascii="Times New Roman" w:hAnsi="Times New Roman"/>
              </w:rPr>
            </w:pPr>
            <w:r w:rsidRPr="0065395F">
              <w:rPr>
                <w:rFonts w:ascii="Times New Roman" w:hAnsi="Times New Roman"/>
              </w:rPr>
              <w:t>The “</w:t>
            </w:r>
            <w:r w:rsidRPr="0065395F">
              <w:rPr>
                <w:rFonts w:ascii="Times New Roman" w:hAnsi="Times New Roman"/>
                <w:b/>
                <w:bCs/>
                <w:u w:val="single"/>
              </w:rPr>
              <w:t>Performance Measurement Period</w:t>
            </w:r>
            <w:r w:rsidRPr="0065395F">
              <w:rPr>
                <w:rFonts w:ascii="Times New Roman" w:hAnsi="Times New Roman"/>
              </w:rPr>
              <w:t xml:space="preserve">” shall be each </w:t>
            </w:r>
            <w:r w:rsidRPr="0065395F">
              <w:rPr>
                <w:rFonts w:ascii="Times New Roman" w:hAnsi="Times New Roman"/>
                <w:color w:val="000000" w:themeColor="text1"/>
              </w:rPr>
              <w:t>two (2) consecutive Contract Year period during the Delivery Term</w:t>
            </w:r>
            <w:r w:rsidRPr="0065395F">
              <w:rPr>
                <w:rFonts w:ascii="Times New Roman" w:hAnsi="Times New Roman"/>
              </w:rPr>
              <w:t>, except for geothermal, which shall be each Contract Year, all calculated on a rolling basis.  The Performance Measurement Period shall begin on the first 12-month Contract Year, and if the last Contract Year is less than 12 months, Guaranteed Energy Production shall be determined on a pro-rated basis.</w:t>
            </w:r>
          </w:p>
          <w:p w14:paraId="17261A96" w14:textId="528EC9F0" w:rsidR="00DA11F3" w:rsidRPr="0065395F" w:rsidRDefault="00DA11F3" w:rsidP="0065395F">
            <w:pPr>
              <w:spacing w:before="120" w:after="120" w:line="240" w:lineRule="auto"/>
              <w:ind w:left="88" w:right="90"/>
              <w:jc w:val="both"/>
              <w:rPr>
                <w:rFonts w:ascii="Times New Roman" w:hAnsi="Times New Roman"/>
                <w:color w:val="000000" w:themeColor="text1"/>
              </w:rPr>
            </w:pPr>
            <w:r w:rsidRPr="0065395F">
              <w:rPr>
                <w:rFonts w:ascii="Times New Roman" w:hAnsi="Times New Roman"/>
                <w:color w:val="000000" w:themeColor="text1"/>
              </w:rPr>
              <w:t>For purposes of determining whether Seller has achieved the Guaranteed Energy Production, Seller shall be deemed to have delivered to Buyer (</w:t>
            </w:r>
            <w:proofErr w:type="spellStart"/>
            <w:r w:rsidRPr="0065395F">
              <w:rPr>
                <w:rFonts w:ascii="Times New Roman" w:hAnsi="Times New Roman"/>
                <w:color w:val="000000" w:themeColor="text1"/>
              </w:rPr>
              <w:t>i</w:t>
            </w:r>
            <w:proofErr w:type="spellEnd"/>
            <w:r w:rsidRPr="0065395F">
              <w:rPr>
                <w:rFonts w:ascii="Times New Roman" w:hAnsi="Times New Roman"/>
                <w:color w:val="000000" w:themeColor="text1"/>
              </w:rPr>
              <w:t>) any Deemed Delivered Energy and (ii) Energy in the amount it could reasonably have delivered to Buyer but was prevented from delivering to Buyer by reason of Force Majeure Events, System Emergency and Curtailment Periods (the “</w:t>
            </w:r>
            <w:r w:rsidRPr="0065395F">
              <w:rPr>
                <w:rFonts w:ascii="Times New Roman" w:hAnsi="Times New Roman"/>
                <w:b/>
                <w:bCs/>
                <w:color w:val="000000" w:themeColor="text1"/>
                <w:u w:val="single"/>
              </w:rPr>
              <w:t>Adjusted Energy Production</w:t>
            </w:r>
            <w:r w:rsidRPr="0065395F">
              <w:rPr>
                <w:rFonts w:ascii="Times New Roman" w:hAnsi="Times New Roman"/>
                <w:color w:val="000000" w:themeColor="text1"/>
              </w:rPr>
              <w:t xml:space="preserve">”).  </w:t>
            </w:r>
          </w:p>
          <w:p w14:paraId="75291280" w14:textId="15FB7C24" w:rsidR="00DA11F3" w:rsidRPr="0065395F" w:rsidRDefault="00DA11F3" w:rsidP="0065395F">
            <w:pPr>
              <w:pStyle w:val="00PlainText"/>
              <w:spacing w:before="120" w:after="120"/>
              <w:ind w:left="88" w:right="90"/>
              <w:rPr>
                <w:szCs w:val="22"/>
              </w:rPr>
            </w:pPr>
            <w:r w:rsidRPr="0065395F">
              <w:rPr>
                <w:color w:val="000000" w:themeColor="text1"/>
                <w:szCs w:val="22"/>
              </w:rPr>
              <w:t>If Seller fails to achieve the Guaranteed Energy Production amount in any Performance Measurement Period, Seller shall pay Buyer liquidated damages</w:t>
            </w:r>
            <w:r w:rsidRPr="0065395F">
              <w:rPr>
                <w:szCs w:val="22"/>
              </w:rPr>
              <w:t xml:space="preserve"> equal to (a) the difference of the </w:t>
            </w:r>
            <w:r w:rsidRPr="0065395F">
              <w:rPr>
                <w:color w:val="000000" w:themeColor="text1"/>
                <w:szCs w:val="22"/>
              </w:rPr>
              <w:t>Guaranteed Energy Production less the Adjusted Energy Production, multiplied by (b) the replacement price for the energy and RECs</w:t>
            </w:r>
            <w:r w:rsidR="00D7001F" w:rsidRPr="0065395F">
              <w:rPr>
                <w:color w:val="000000" w:themeColor="text1"/>
                <w:szCs w:val="22"/>
              </w:rPr>
              <w:t>, as reasonably determined by Buyer</w:t>
            </w:r>
            <w:r w:rsidR="002E1375" w:rsidRPr="0065395F">
              <w:rPr>
                <w:color w:val="000000" w:themeColor="text1"/>
                <w:szCs w:val="22"/>
              </w:rPr>
              <w:t>,</w:t>
            </w:r>
            <w:r w:rsidRPr="0065395F">
              <w:rPr>
                <w:color w:val="000000" w:themeColor="text1"/>
                <w:szCs w:val="22"/>
              </w:rPr>
              <w:t xml:space="preserve"> less the </w:t>
            </w:r>
            <w:r w:rsidR="00D7001F" w:rsidRPr="0065395F">
              <w:rPr>
                <w:color w:val="000000" w:themeColor="text1"/>
                <w:szCs w:val="22"/>
              </w:rPr>
              <w:t>Generating Facility Contract Price, as reasonably determined by Buyer</w:t>
            </w:r>
            <w:r w:rsidRPr="0065395F">
              <w:rPr>
                <w:color w:val="000000" w:themeColor="text1"/>
                <w:szCs w:val="22"/>
              </w:rPr>
              <w:t>.  No payment shall be due if the calculation yields a negative number.</w:t>
            </w:r>
          </w:p>
        </w:tc>
      </w:tr>
      <w:tr w:rsidR="00DA11F3" w:rsidRPr="0065395F" w14:paraId="417A6EF4" w14:textId="77777777" w:rsidTr="00B50DE9">
        <w:tc>
          <w:tcPr>
            <w:tcW w:w="2430" w:type="dxa"/>
          </w:tcPr>
          <w:p w14:paraId="25F672B7" w14:textId="41C1A6E2" w:rsidR="00DA11F3" w:rsidRPr="0065395F" w:rsidRDefault="00DA11F3" w:rsidP="0065395F">
            <w:pPr>
              <w:spacing w:before="120" w:after="120" w:line="240" w:lineRule="auto"/>
              <w:ind w:left="90" w:right="90"/>
              <w:rPr>
                <w:rFonts w:ascii="Times New Roman" w:hAnsi="Times New Roman"/>
                <w:b/>
                <w:color w:val="282828"/>
              </w:rPr>
            </w:pPr>
            <w:bookmarkStart w:id="2" w:name="_Hlk83391853"/>
            <w:r w:rsidRPr="0065395F">
              <w:rPr>
                <w:rFonts w:ascii="Times New Roman" w:hAnsi="Times New Roman"/>
                <w:b/>
                <w:color w:val="282828"/>
              </w:rPr>
              <w:t>RA Failure:</w:t>
            </w:r>
          </w:p>
        </w:tc>
        <w:tc>
          <w:tcPr>
            <w:tcW w:w="6930" w:type="dxa"/>
          </w:tcPr>
          <w:p w14:paraId="7A9BAE4B" w14:textId="177E6B3A" w:rsidR="00DA11F3" w:rsidRPr="0065395F" w:rsidRDefault="00983CDF" w:rsidP="0065395F">
            <w:pPr>
              <w:pStyle w:val="00PlainText"/>
              <w:spacing w:before="120" w:after="120"/>
              <w:ind w:left="90" w:right="90"/>
              <w:rPr>
                <w:color w:val="000000" w:themeColor="text1"/>
                <w:szCs w:val="22"/>
              </w:rPr>
            </w:pPr>
            <w:r w:rsidRPr="0065395F">
              <w:rPr>
                <w:color w:val="000000" w:themeColor="text1"/>
                <w:szCs w:val="22"/>
              </w:rPr>
              <w:t>For each RA Shortfall Month occurring after the RA Guarantee Date, Seller shall pay to Buyer an amount (the “</w:t>
            </w:r>
            <w:r w:rsidRPr="0065395F">
              <w:rPr>
                <w:b/>
                <w:color w:val="000000" w:themeColor="text1"/>
                <w:szCs w:val="22"/>
                <w:u w:val="single"/>
              </w:rPr>
              <w:t>RA Deficiency Amount</w:t>
            </w:r>
            <w:r w:rsidRPr="0065395F">
              <w:rPr>
                <w:color w:val="000000" w:themeColor="text1"/>
                <w:szCs w:val="22"/>
              </w:rPr>
              <w:t>”) equal to the product of (</w:t>
            </w:r>
            <w:proofErr w:type="spellStart"/>
            <w:r w:rsidRPr="0065395F">
              <w:rPr>
                <w:color w:val="000000" w:themeColor="text1"/>
                <w:szCs w:val="22"/>
              </w:rPr>
              <w:t>i</w:t>
            </w:r>
            <w:proofErr w:type="spellEnd"/>
            <w:r w:rsidRPr="0065395F">
              <w:rPr>
                <w:color w:val="000000" w:themeColor="text1"/>
                <w:szCs w:val="22"/>
              </w:rPr>
              <w:t xml:space="preserve">) the difference, expressed in kW, of (A) the </w:t>
            </w:r>
            <w:r w:rsidR="002D6B6C" w:rsidRPr="0065395F">
              <w:rPr>
                <w:color w:val="000000" w:themeColor="text1"/>
                <w:szCs w:val="22"/>
              </w:rPr>
              <w:t>Qualifying Capacity</w:t>
            </w:r>
            <w:r w:rsidRPr="0065395F">
              <w:rPr>
                <w:color w:val="000000" w:themeColor="text1"/>
                <w:szCs w:val="22"/>
              </w:rPr>
              <w:t xml:space="preserve"> for such month, minus (B) the Net Qualifying Capacity of the Facility </w:t>
            </w:r>
            <w:r w:rsidRPr="0065395F">
              <w:rPr>
                <w:szCs w:val="22"/>
              </w:rPr>
              <w:t>for such month able to be shown on Buyer’s monthly or annual Resource Adequacy Plan (as defined in the CAISO Tariff) to the CAISO and CPUC and counted as Resource Adequacy Capacity (as defined in the CAISO Tariff)</w:t>
            </w:r>
            <w:r w:rsidRPr="0065395F">
              <w:rPr>
                <w:color w:val="000000" w:themeColor="text1"/>
                <w:szCs w:val="22"/>
              </w:rPr>
              <w:t xml:space="preserve"> (the “</w:t>
            </w:r>
            <w:r w:rsidRPr="0065395F">
              <w:rPr>
                <w:b/>
                <w:bCs/>
                <w:color w:val="000000" w:themeColor="text1"/>
                <w:szCs w:val="22"/>
                <w:u w:val="single"/>
              </w:rPr>
              <w:t>RA Shortfall</w:t>
            </w:r>
            <w:r w:rsidRPr="0065395F">
              <w:rPr>
                <w:color w:val="000000" w:themeColor="text1"/>
                <w:szCs w:val="22"/>
              </w:rPr>
              <w:t>”), multiplied by (ii) </w:t>
            </w:r>
            <w:r w:rsidR="003C5B17" w:rsidRPr="0065395F" w:rsidDel="003C5B17">
              <w:rPr>
                <w:color w:val="000000" w:themeColor="text1"/>
                <w:szCs w:val="22"/>
              </w:rPr>
              <w:t xml:space="preserve"> </w:t>
            </w:r>
            <w:r w:rsidRPr="0065395F">
              <w:rPr>
                <w:szCs w:val="22"/>
              </w:rPr>
              <w:t xml:space="preserve">the sum of (1) the </w:t>
            </w:r>
            <w:bookmarkStart w:id="3" w:name="_9kP4WSt2665AFOq9xwjGCzth0zUzwvFT"/>
            <w:r w:rsidRPr="0065395F">
              <w:rPr>
                <w:szCs w:val="22"/>
              </w:rPr>
              <w:t>CPUC System RA Penalty</w:t>
            </w:r>
            <w:bookmarkEnd w:id="3"/>
            <w:r w:rsidRPr="0065395F">
              <w:rPr>
                <w:szCs w:val="22"/>
              </w:rPr>
              <w:t xml:space="preserve"> and (2) </w:t>
            </w:r>
            <w:r w:rsidRPr="0065395F">
              <w:rPr>
                <w:color w:val="000000" w:themeColor="text1"/>
                <w:szCs w:val="22"/>
              </w:rPr>
              <w:t xml:space="preserve">the CPM Soft Offer Cap as listed in Section 43A.4.1.1 of the CAISO Tariff (or its successor)]; provided that Seller may, as an alternative to paying RA Deficiency Amounts, provide Replacement RA in amounts up to the RA Shortfall, provided that any Replacement RA capacity is communicated by Seller to Buyer with Replacement RA product information in a written notice to Buyer at least </w:t>
            </w:r>
            <w:r w:rsidR="00180D51" w:rsidRPr="0065395F">
              <w:rPr>
                <w:color w:val="000000" w:themeColor="text1"/>
                <w:szCs w:val="22"/>
              </w:rPr>
              <w:t>twenty</w:t>
            </w:r>
            <w:r w:rsidRPr="0065395F">
              <w:rPr>
                <w:color w:val="000000" w:themeColor="text1"/>
                <w:szCs w:val="22"/>
              </w:rPr>
              <w:t> (</w:t>
            </w:r>
            <w:r w:rsidR="00180D51" w:rsidRPr="0065395F">
              <w:rPr>
                <w:color w:val="000000" w:themeColor="text1"/>
                <w:szCs w:val="22"/>
              </w:rPr>
              <w:t>2</w:t>
            </w:r>
            <w:r w:rsidRPr="0065395F">
              <w:rPr>
                <w:color w:val="000000" w:themeColor="text1"/>
                <w:szCs w:val="22"/>
              </w:rPr>
              <w:t xml:space="preserve">0) Business Days before the deadline (as established by CAISO or any other Governmental Authority) that </w:t>
            </w:r>
            <w:r w:rsidR="00733CD9">
              <w:rPr>
                <w:color w:val="000000" w:themeColor="text1"/>
                <w:szCs w:val="22"/>
              </w:rPr>
              <w:t>Buyer</w:t>
            </w:r>
            <w:r w:rsidRPr="0065395F">
              <w:rPr>
                <w:color w:val="000000" w:themeColor="text1"/>
                <w:szCs w:val="22"/>
              </w:rPr>
              <w:t xml:space="preserve"> must meet to submit its resource adequacy plan for the applicable </w:t>
            </w:r>
            <w:r w:rsidR="00733CD9">
              <w:rPr>
                <w:color w:val="000000" w:themeColor="text1"/>
                <w:szCs w:val="22"/>
              </w:rPr>
              <w:t>Showing</w:t>
            </w:r>
            <w:r w:rsidRPr="0065395F">
              <w:rPr>
                <w:color w:val="000000" w:themeColor="text1"/>
                <w:szCs w:val="22"/>
              </w:rPr>
              <w:t xml:space="preserve"> </w:t>
            </w:r>
            <w:r w:rsidR="00733CD9">
              <w:rPr>
                <w:color w:val="000000" w:themeColor="text1"/>
                <w:szCs w:val="22"/>
              </w:rPr>
              <w:t>M</w:t>
            </w:r>
            <w:r w:rsidRPr="0065395F">
              <w:rPr>
                <w:color w:val="000000" w:themeColor="text1"/>
                <w:szCs w:val="22"/>
              </w:rPr>
              <w:t>onth for the purpose of monthly RA reporting</w:t>
            </w:r>
            <w:r w:rsidR="00DA11F3" w:rsidRPr="0065395F">
              <w:rPr>
                <w:color w:val="000000" w:themeColor="text1"/>
                <w:szCs w:val="22"/>
              </w:rPr>
              <w:t>, and further provided that such Replacement RA capacity shall be required to comply with the requirements of D.21-06-035, and in addition, meet the same sub-category attributes if contracted for one of the sub-categories of D.21-06-</w:t>
            </w:r>
            <w:r w:rsidR="00DA11F3" w:rsidRPr="0065395F">
              <w:rPr>
                <w:color w:val="000000" w:themeColor="text1"/>
                <w:szCs w:val="22"/>
              </w:rPr>
              <w:lastRenderedPageBreak/>
              <w:t xml:space="preserve">035, only to the extent required for the Product purchased hereunder to be applied towards Buyer’s compliance with its procurement obligations under D.21-06-035 as confirmed through a decision, resolution, publicly issued guidance document, letter from the CPUC Executive Director, or other communication of approval or confirmation mutually agreed to by the Parties.  </w:t>
            </w:r>
          </w:p>
        </w:tc>
      </w:tr>
      <w:bookmarkEnd w:id="2"/>
      <w:tr w:rsidR="00DA11F3" w:rsidRPr="0065395F" w14:paraId="528A38DD" w14:textId="77777777" w:rsidTr="00B50DE9">
        <w:tc>
          <w:tcPr>
            <w:tcW w:w="2430" w:type="dxa"/>
          </w:tcPr>
          <w:p w14:paraId="43635230" w14:textId="73B90933" w:rsidR="00DA11F3" w:rsidRPr="0065395F" w:rsidRDefault="00DA11F3"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lastRenderedPageBreak/>
              <w:t>Operations &amp; Maintenance:</w:t>
            </w:r>
          </w:p>
        </w:tc>
        <w:tc>
          <w:tcPr>
            <w:tcW w:w="6930" w:type="dxa"/>
          </w:tcPr>
          <w:p w14:paraId="2F668E45" w14:textId="60A4034A" w:rsidR="00DA11F3" w:rsidRPr="0065395F" w:rsidRDefault="00DA11F3" w:rsidP="0065395F">
            <w:pPr>
              <w:pStyle w:val="00PlainText"/>
              <w:spacing w:before="120" w:after="120"/>
              <w:ind w:left="90" w:right="90"/>
              <w:rPr>
                <w:szCs w:val="22"/>
              </w:rPr>
            </w:pPr>
            <w:r w:rsidRPr="0065395F">
              <w:rPr>
                <w:szCs w:val="22"/>
              </w:rPr>
              <w:t xml:space="preserve">Seller shall develop written operating procedures for </w:t>
            </w:r>
            <w:r w:rsidR="00B16803">
              <w:rPr>
                <w:szCs w:val="22"/>
              </w:rPr>
              <w:t>the</w:t>
            </w:r>
            <w:r w:rsidR="00B16803" w:rsidRPr="0065395F">
              <w:rPr>
                <w:szCs w:val="22"/>
              </w:rPr>
              <w:t xml:space="preserve"> </w:t>
            </w:r>
            <w:r w:rsidR="0065395F">
              <w:rPr>
                <w:szCs w:val="22"/>
              </w:rPr>
              <w:t>Facility</w:t>
            </w:r>
            <w:r w:rsidRPr="0065395F">
              <w:rPr>
                <w:szCs w:val="22"/>
              </w:rPr>
              <w:t xml:space="preserve"> before the applicable initial delivery date which shall set forth the protocol under which the Parties shall perform their respective obligations under the PPA. During the Term, each </w:t>
            </w:r>
            <w:r w:rsidR="0065395F">
              <w:rPr>
                <w:szCs w:val="22"/>
              </w:rPr>
              <w:t>Facility</w:t>
            </w:r>
            <w:r w:rsidRPr="0065395F">
              <w:rPr>
                <w:szCs w:val="22"/>
              </w:rPr>
              <w:t xml:space="preserve"> shall be operated and maintained by Seller or its designee in accordance with those practices, methods, and acts that are commonly used by a significant portion of the </w:t>
            </w:r>
            <w:r w:rsidR="008A3CE5">
              <w:rPr>
                <w:szCs w:val="22"/>
              </w:rPr>
              <w:t xml:space="preserve">renewable </w:t>
            </w:r>
            <w:r w:rsidRPr="0065395F">
              <w:rPr>
                <w:szCs w:val="22"/>
              </w:rPr>
              <w:t>electric generation industry.</w:t>
            </w:r>
          </w:p>
          <w:p w14:paraId="5454C158" w14:textId="6684695A" w:rsidR="00DA11F3" w:rsidRPr="0065395F" w:rsidRDefault="00DA11F3" w:rsidP="0065395F">
            <w:pPr>
              <w:pStyle w:val="00PlainText"/>
              <w:spacing w:before="120" w:after="120"/>
              <w:ind w:left="90" w:right="90"/>
              <w:rPr>
                <w:szCs w:val="22"/>
              </w:rPr>
            </w:pPr>
            <w:r w:rsidRPr="0065395F">
              <w:rPr>
                <w:szCs w:val="22"/>
              </w:rPr>
              <w:t xml:space="preserve">During the </w:t>
            </w:r>
            <w:r w:rsidR="00B16803">
              <w:rPr>
                <w:szCs w:val="22"/>
              </w:rPr>
              <w:t>five</w:t>
            </w:r>
            <w:r w:rsidRPr="0065395F">
              <w:rPr>
                <w:szCs w:val="22"/>
              </w:rPr>
              <w:t xml:space="preserve">-month period </w:t>
            </w:r>
            <w:r w:rsidR="00B16803">
              <w:rPr>
                <w:szCs w:val="22"/>
              </w:rPr>
              <w:t>from</w:t>
            </w:r>
            <w:r w:rsidRPr="0065395F">
              <w:rPr>
                <w:szCs w:val="22"/>
              </w:rPr>
              <w:t xml:space="preserve"> June</w:t>
            </w:r>
            <w:r w:rsidR="008A3CE5">
              <w:rPr>
                <w:szCs w:val="22"/>
              </w:rPr>
              <w:t xml:space="preserve"> 1</w:t>
            </w:r>
            <w:r w:rsidR="00B16803">
              <w:rPr>
                <w:szCs w:val="22"/>
              </w:rPr>
              <w:t xml:space="preserve"> to October</w:t>
            </w:r>
            <w:r w:rsidR="008A3CE5">
              <w:rPr>
                <w:szCs w:val="22"/>
              </w:rPr>
              <w:t xml:space="preserve"> 31 during the Delivery Term</w:t>
            </w:r>
            <w:r w:rsidRPr="0065395F">
              <w:rPr>
                <w:szCs w:val="22"/>
              </w:rPr>
              <w:t xml:space="preserve">, Seller shall not schedule any non-emergency maintenance that reduces the energy generation capability of the </w:t>
            </w:r>
            <w:r w:rsidR="0065395F">
              <w:rPr>
                <w:szCs w:val="22"/>
              </w:rPr>
              <w:t>Facility</w:t>
            </w:r>
            <w:r w:rsidRPr="0065395F">
              <w:rPr>
                <w:szCs w:val="22"/>
              </w:rPr>
              <w:t>, unless (</w:t>
            </w:r>
            <w:proofErr w:type="spellStart"/>
            <w:r w:rsidRPr="0065395F">
              <w:rPr>
                <w:szCs w:val="22"/>
              </w:rPr>
              <w:t>i</w:t>
            </w:r>
            <w:proofErr w:type="spellEnd"/>
            <w:r w:rsidRPr="0065395F">
              <w:rPr>
                <w:szCs w:val="22"/>
              </w:rPr>
              <w:t xml:space="preserve">) such outage is required to avoid an emergency or damage to the </w:t>
            </w:r>
            <w:r w:rsidR="0065395F">
              <w:rPr>
                <w:szCs w:val="22"/>
              </w:rPr>
              <w:t>Facility</w:t>
            </w:r>
            <w:r w:rsidRPr="0065395F">
              <w:rPr>
                <w:szCs w:val="22"/>
              </w:rPr>
              <w:t xml:space="preserve"> or its Interconnection Facilities, (ii) such maintenance is necessary to maintain equipment warranties or is otherwise required by the equipment manufacturer</w:t>
            </w:r>
            <w:r w:rsidRPr="0065395F">
              <w:rPr>
                <w:rStyle w:val="CommentReference"/>
                <w:rFonts w:eastAsia="Times New Roman"/>
                <w:sz w:val="22"/>
                <w:szCs w:val="22"/>
              </w:rPr>
              <w:t xml:space="preserve"> </w:t>
            </w:r>
            <w:r w:rsidRPr="0065395F">
              <w:rPr>
                <w:szCs w:val="22"/>
              </w:rPr>
              <w:t>and cannot be scheduled outside the months of June</w:t>
            </w:r>
            <w:r w:rsidR="00B16803">
              <w:rPr>
                <w:szCs w:val="22"/>
              </w:rPr>
              <w:t xml:space="preserve"> to October</w:t>
            </w:r>
            <w:r w:rsidRPr="0065395F">
              <w:rPr>
                <w:szCs w:val="22"/>
              </w:rPr>
              <w:t>, (iii) such outage is in connection with Force Majeure events, (iv) such outage is required by law, or the requirements of CAISO or the interconnecting utility and/or each other applicable Governmental Authority, or (v) the Parties agree otherwise in writing.</w:t>
            </w:r>
            <w:r w:rsidR="00F17051" w:rsidRPr="0065395F">
              <w:rPr>
                <w:szCs w:val="22"/>
              </w:rPr>
              <w:t xml:space="preserve">  The Planned Outages in any Contract Year shall not exceed </w:t>
            </w:r>
            <w:r w:rsidR="007768D3">
              <w:rPr>
                <w:szCs w:val="22"/>
              </w:rPr>
              <w:t>720</w:t>
            </w:r>
            <w:r w:rsidR="00F17051" w:rsidRPr="0065395F">
              <w:rPr>
                <w:szCs w:val="22"/>
              </w:rPr>
              <w:t xml:space="preserve"> hours.</w:t>
            </w:r>
          </w:p>
        </w:tc>
      </w:tr>
      <w:tr w:rsidR="00DA11F3" w:rsidRPr="0065395F" w14:paraId="16550B44" w14:textId="77777777" w:rsidTr="00B50DE9">
        <w:tc>
          <w:tcPr>
            <w:tcW w:w="2430" w:type="dxa"/>
          </w:tcPr>
          <w:p w14:paraId="33E722D1" w14:textId="46DF95E8" w:rsidR="00DA11F3" w:rsidRPr="0065395F" w:rsidRDefault="00DA11F3"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t>Invoicing:</w:t>
            </w:r>
          </w:p>
        </w:tc>
        <w:tc>
          <w:tcPr>
            <w:tcW w:w="6930" w:type="dxa"/>
          </w:tcPr>
          <w:p w14:paraId="7089A0F9" w14:textId="77531600" w:rsidR="00DA11F3" w:rsidRPr="0065395F" w:rsidRDefault="00DA11F3" w:rsidP="0065395F">
            <w:pPr>
              <w:pStyle w:val="00PlainText"/>
              <w:spacing w:before="120" w:after="120"/>
              <w:ind w:left="90" w:right="90"/>
              <w:rPr>
                <w:szCs w:val="22"/>
              </w:rPr>
            </w:pPr>
            <w:r w:rsidRPr="0065395F">
              <w:rPr>
                <w:szCs w:val="22"/>
              </w:rPr>
              <w:t xml:space="preserve">Seller shall provide statement of amounts due within </w:t>
            </w:r>
            <w:r w:rsidR="0089265C">
              <w:rPr>
                <w:szCs w:val="22"/>
              </w:rPr>
              <w:t>ten</w:t>
            </w:r>
            <w:r w:rsidR="0089265C" w:rsidRPr="0065395F">
              <w:rPr>
                <w:szCs w:val="22"/>
              </w:rPr>
              <w:t xml:space="preserve"> </w:t>
            </w:r>
            <w:r w:rsidRPr="0065395F">
              <w:rPr>
                <w:szCs w:val="22"/>
              </w:rPr>
              <w:t>(</w:t>
            </w:r>
            <w:r w:rsidR="0089265C">
              <w:rPr>
                <w:szCs w:val="22"/>
              </w:rPr>
              <w:t>10</w:t>
            </w:r>
            <w:r w:rsidRPr="0065395F">
              <w:rPr>
                <w:szCs w:val="22"/>
              </w:rPr>
              <w:t>) days after the end of each Settlement Period.</w:t>
            </w:r>
          </w:p>
          <w:p w14:paraId="4ACF8603" w14:textId="4ED1E7F8" w:rsidR="00DA11F3" w:rsidRPr="0065395F" w:rsidRDefault="00DA11F3" w:rsidP="0065395F">
            <w:pPr>
              <w:pStyle w:val="00PlainText"/>
              <w:spacing w:before="120" w:after="120"/>
              <w:ind w:left="90" w:right="90"/>
              <w:rPr>
                <w:szCs w:val="22"/>
              </w:rPr>
            </w:pPr>
            <w:r w:rsidRPr="0065395F">
              <w:rPr>
                <w:szCs w:val="22"/>
              </w:rPr>
              <w:t xml:space="preserve">Payment for undisputed amounts shall be due to the applicable party thirty (30) days from the </w:t>
            </w:r>
            <w:r w:rsidR="008A3CE5">
              <w:rPr>
                <w:szCs w:val="22"/>
              </w:rPr>
              <w:t xml:space="preserve">later of receipt of the </w:t>
            </w:r>
            <w:r w:rsidRPr="0065395F">
              <w:rPr>
                <w:szCs w:val="22"/>
              </w:rPr>
              <w:t>invoice</w:t>
            </w:r>
            <w:r w:rsidR="008A3CE5">
              <w:rPr>
                <w:szCs w:val="22"/>
              </w:rPr>
              <w:t xml:space="preserve"> or the end of the prior monthly delivery period</w:t>
            </w:r>
            <w:r w:rsidRPr="0065395F">
              <w:rPr>
                <w:szCs w:val="22"/>
              </w:rPr>
              <w:t>, with disputed payments subject to the Dispute Resolution process described below.</w:t>
            </w:r>
          </w:p>
        </w:tc>
      </w:tr>
      <w:tr w:rsidR="00DA11F3" w:rsidRPr="0065395F" w14:paraId="08DC667B" w14:textId="77777777" w:rsidTr="00B50DE9">
        <w:tc>
          <w:tcPr>
            <w:tcW w:w="2430" w:type="dxa"/>
          </w:tcPr>
          <w:p w14:paraId="493B013E" w14:textId="49E3EE0A" w:rsidR="00DA11F3" w:rsidRPr="0065395F" w:rsidRDefault="00DA11F3"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t>Costs:</w:t>
            </w:r>
          </w:p>
        </w:tc>
        <w:tc>
          <w:tcPr>
            <w:tcW w:w="6930" w:type="dxa"/>
          </w:tcPr>
          <w:p w14:paraId="77AB7CB7" w14:textId="1EF6B44B" w:rsidR="00DA11F3" w:rsidRPr="0065395F" w:rsidRDefault="00DA11F3" w:rsidP="0065395F">
            <w:pPr>
              <w:pStyle w:val="00PlainText"/>
              <w:spacing w:before="120" w:after="120"/>
              <w:ind w:left="90" w:right="90"/>
              <w:rPr>
                <w:szCs w:val="22"/>
              </w:rPr>
            </w:pPr>
            <w:r w:rsidRPr="0065395F">
              <w:rPr>
                <w:szCs w:val="22"/>
              </w:rPr>
              <w:t xml:space="preserve">Any charges of the CAISO and other </w:t>
            </w:r>
            <w:proofErr w:type="gramStart"/>
            <w:r w:rsidRPr="0065395F">
              <w:rPr>
                <w:szCs w:val="22"/>
              </w:rPr>
              <w:t>third party</w:t>
            </w:r>
            <w:proofErr w:type="gramEnd"/>
            <w:r w:rsidRPr="0065395F">
              <w:rPr>
                <w:szCs w:val="22"/>
              </w:rPr>
              <w:t xml:space="preserve"> costs and charges (including the cost of registering the RECs and other attributes) shall be the responsibility of Seller, except as addressed </w:t>
            </w:r>
            <w:r w:rsidR="00F5255C">
              <w:rPr>
                <w:szCs w:val="22"/>
              </w:rPr>
              <w:t>herein</w:t>
            </w:r>
            <w:r w:rsidR="00F5255C" w:rsidRPr="0065395F">
              <w:rPr>
                <w:szCs w:val="22"/>
              </w:rPr>
              <w:t xml:space="preserve"> </w:t>
            </w:r>
            <w:r w:rsidRPr="0065395F">
              <w:rPr>
                <w:szCs w:val="22"/>
              </w:rPr>
              <w:t xml:space="preserve">in the sections </w:t>
            </w:r>
            <w:r w:rsidR="00F5255C">
              <w:rPr>
                <w:szCs w:val="22"/>
              </w:rPr>
              <w:t>titled</w:t>
            </w:r>
            <w:r w:rsidR="00F5255C" w:rsidRPr="0065395F">
              <w:rPr>
                <w:szCs w:val="22"/>
              </w:rPr>
              <w:t xml:space="preserve"> </w:t>
            </w:r>
            <w:r w:rsidRPr="0065395F">
              <w:rPr>
                <w:szCs w:val="22"/>
              </w:rPr>
              <w:t xml:space="preserve">“Environmental Attributes,” and “Additional Products,” and subject to Change in Law.  </w:t>
            </w:r>
          </w:p>
        </w:tc>
      </w:tr>
      <w:tr w:rsidR="00DA11F3" w:rsidRPr="0065395F" w14:paraId="73065E73" w14:textId="77777777" w:rsidTr="00B50DE9">
        <w:tc>
          <w:tcPr>
            <w:tcW w:w="2430" w:type="dxa"/>
          </w:tcPr>
          <w:p w14:paraId="579DF1F0" w14:textId="26E842C4" w:rsidR="00DA11F3" w:rsidRPr="0065395F" w:rsidRDefault="00DA11F3" w:rsidP="0065395F">
            <w:pPr>
              <w:spacing w:before="120" w:after="120" w:line="240" w:lineRule="auto"/>
              <w:ind w:left="90" w:right="90"/>
              <w:rPr>
                <w:rFonts w:ascii="Times New Roman" w:hAnsi="Times New Roman"/>
                <w:b/>
              </w:rPr>
            </w:pPr>
            <w:r w:rsidRPr="0065395F">
              <w:rPr>
                <w:rFonts w:ascii="Times New Roman" w:hAnsi="Times New Roman"/>
                <w:b/>
                <w:color w:val="282828"/>
              </w:rPr>
              <w:t>Additional Products:</w:t>
            </w:r>
          </w:p>
        </w:tc>
        <w:tc>
          <w:tcPr>
            <w:tcW w:w="6930" w:type="dxa"/>
          </w:tcPr>
          <w:p w14:paraId="7F1993E0" w14:textId="796F6CD8" w:rsidR="00DA11F3" w:rsidRPr="0065395F" w:rsidRDefault="00575196" w:rsidP="0065395F">
            <w:pPr>
              <w:pStyle w:val="00PlainText"/>
              <w:spacing w:before="120" w:after="120"/>
              <w:ind w:left="90" w:right="90"/>
              <w:rPr>
                <w:szCs w:val="22"/>
              </w:rPr>
            </w:pPr>
            <w:bookmarkStart w:id="4" w:name="_Ref380402551"/>
            <w:bookmarkStart w:id="5" w:name="_Ref444439315"/>
            <w:r w:rsidRPr="0065395F">
              <w:rPr>
                <w:szCs w:val="22"/>
              </w:rPr>
              <w:t xml:space="preserve">The </w:t>
            </w:r>
            <w:bookmarkStart w:id="6" w:name="_9kMI0G6ZWu4ABAFEaHqAI"/>
            <w:bookmarkStart w:id="7" w:name="_9kMI0G6ZWu4BCAFFbHqAI"/>
            <w:r w:rsidRPr="0065395F">
              <w:rPr>
                <w:szCs w:val="22"/>
              </w:rPr>
              <w:t>Parties</w:t>
            </w:r>
            <w:bookmarkEnd w:id="6"/>
            <w:bookmarkEnd w:id="7"/>
            <w:r w:rsidRPr="0065395F">
              <w:rPr>
                <w:szCs w:val="22"/>
              </w:rPr>
              <w:t xml:space="preserve"> acknowledge and agree </w:t>
            </w:r>
            <w:bookmarkEnd w:id="4"/>
            <w:bookmarkEnd w:id="5"/>
            <w:r w:rsidR="00581138" w:rsidRPr="0065395F">
              <w:rPr>
                <w:szCs w:val="22"/>
              </w:rPr>
              <w:t xml:space="preserve">during the Delivery Term, </w:t>
            </w:r>
            <w:r w:rsidR="00DA11F3" w:rsidRPr="0065395F">
              <w:rPr>
                <w:szCs w:val="22"/>
              </w:rPr>
              <w:t xml:space="preserve">new or incremental opportunities may arise for the sale or transfer of additional products from the </w:t>
            </w:r>
            <w:r w:rsidR="00581138" w:rsidRPr="0065395F">
              <w:rPr>
                <w:szCs w:val="22"/>
              </w:rPr>
              <w:t xml:space="preserve">Facility </w:t>
            </w:r>
            <w:r w:rsidR="00DA11F3" w:rsidRPr="0065395F">
              <w:rPr>
                <w:szCs w:val="22"/>
              </w:rPr>
              <w:t xml:space="preserve">that are not currently known to or contemplated by Buyer or Seller, including reactive power, and </w:t>
            </w:r>
            <w:r w:rsidR="007C020D" w:rsidRPr="0065395F">
              <w:rPr>
                <w:szCs w:val="22"/>
              </w:rPr>
              <w:t xml:space="preserve">additional </w:t>
            </w:r>
            <w:r w:rsidR="00DA11F3" w:rsidRPr="0065395F">
              <w:rPr>
                <w:szCs w:val="22"/>
              </w:rPr>
              <w:t>ancillary services (collectively, “</w:t>
            </w:r>
            <w:r w:rsidR="00DA11F3" w:rsidRPr="0065395F">
              <w:rPr>
                <w:b/>
                <w:i/>
                <w:szCs w:val="22"/>
              </w:rPr>
              <w:t>Additional Products</w:t>
            </w:r>
            <w:r w:rsidR="00DA11F3" w:rsidRPr="0065395F">
              <w:rPr>
                <w:szCs w:val="22"/>
              </w:rPr>
              <w:t xml:space="preserve">”). </w:t>
            </w:r>
            <w:r w:rsidR="007C020D" w:rsidRPr="0065395F">
              <w:rPr>
                <w:szCs w:val="22"/>
              </w:rPr>
              <w:t xml:space="preserve">In such event, </w:t>
            </w:r>
            <w:bookmarkStart w:id="8" w:name="_9kMK5J6ZWu4BC7CDLNH2w"/>
            <w:bookmarkStart w:id="9" w:name="_9kMK5J6ZWu4AB7CEMNH2w"/>
            <w:bookmarkStart w:id="10" w:name="_9kMK5J6ZWu4AB7CFNNH2w"/>
            <w:bookmarkStart w:id="11" w:name="_9kMK5J6ZWu4AB7CGONH2w"/>
            <w:bookmarkStart w:id="12" w:name="_9kMK5J6ZWu4AB7CHPNH2w"/>
            <w:bookmarkStart w:id="13" w:name="_9kMK5J6ZWu4AB7CIQNH2w"/>
            <w:bookmarkStart w:id="14" w:name="_9kMK5J6ZWu4AB7CJRNH2w"/>
            <w:bookmarkStart w:id="15" w:name="_9kMK5J6ZWu4AB7CKSNH2w"/>
            <w:r w:rsidR="007C020D" w:rsidRPr="0065395F">
              <w:rPr>
                <w:szCs w:val="22"/>
              </w:rPr>
              <w:t>Buyer</w:t>
            </w:r>
            <w:bookmarkEnd w:id="8"/>
            <w:bookmarkEnd w:id="9"/>
            <w:bookmarkEnd w:id="10"/>
            <w:bookmarkEnd w:id="11"/>
            <w:bookmarkEnd w:id="12"/>
            <w:bookmarkEnd w:id="13"/>
            <w:bookmarkEnd w:id="14"/>
            <w:bookmarkEnd w:id="15"/>
            <w:r w:rsidR="007C020D" w:rsidRPr="0065395F">
              <w:rPr>
                <w:szCs w:val="22"/>
              </w:rPr>
              <w:t xml:space="preserve"> shall bear all </w:t>
            </w:r>
            <w:bookmarkStart w:id="16" w:name="_9kMHzG6ZWu5778DHQI5BC"/>
            <w:r w:rsidR="007C020D" w:rsidRPr="0065395F">
              <w:rPr>
                <w:szCs w:val="22"/>
              </w:rPr>
              <w:t>costs</w:t>
            </w:r>
            <w:bookmarkEnd w:id="16"/>
            <w:r w:rsidR="007C020D" w:rsidRPr="0065395F">
              <w:rPr>
                <w:szCs w:val="22"/>
              </w:rPr>
              <w:t xml:space="preserve"> associated with the transfer, qualification, verification, </w:t>
            </w:r>
            <w:proofErr w:type="gramStart"/>
            <w:r w:rsidR="007C020D" w:rsidRPr="0065395F">
              <w:rPr>
                <w:szCs w:val="22"/>
              </w:rPr>
              <w:t>registration</w:t>
            </w:r>
            <w:proofErr w:type="gramEnd"/>
            <w:r w:rsidR="007C020D" w:rsidRPr="0065395F">
              <w:rPr>
                <w:szCs w:val="22"/>
              </w:rPr>
              <w:t xml:space="preserve"> and ongoing compliance for such Additional Products, but there shall be no increase in the </w:t>
            </w:r>
            <w:bookmarkStart w:id="17" w:name="_9kMKH6YUv3AB78ERHz5Aseymf5ro"/>
            <w:bookmarkStart w:id="18" w:name="_9kMKJ5YVt3AB78FSHz5Aseymf5ro"/>
            <w:r w:rsidR="007C020D" w:rsidRPr="0065395F">
              <w:rPr>
                <w:szCs w:val="22"/>
              </w:rPr>
              <w:t>Contract Price</w:t>
            </w:r>
            <w:bookmarkEnd w:id="17"/>
            <w:bookmarkEnd w:id="18"/>
            <w:r w:rsidR="007C020D" w:rsidRPr="0065395F">
              <w:rPr>
                <w:szCs w:val="22"/>
              </w:rPr>
              <w:t xml:space="preserve">. Upon </w:t>
            </w:r>
            <w:bookmarkStart w:id="19" w:name="_9kMM4G6ZWu4ABBEBcOowqx"/>
            <w:bookmarkStart w:id="20" w:name="_9kMM4G6ZWu4ABBECdOowqx"/>
            <w:bookmarkStart w:id="21" w:name="_9kMM4G6ZWu4ABBEDeOowqx"/>
            <w:bookmarkStart w:id="22" w:name="_9kMM4G6ZWu4ABBEFgOowqx"/>
            <w:bookmarkStart w:id="23" w:name="_9kMM4G6ZWu4ABBEGhOowqx"/>
            <w:r w:rsidR="007C020D" w:rsidRPr="0065395F">
              <w:rPr>
                <w:szCs w:val="22"/>
              </w:rPr>
              <w:t>Seller’s</w:t>
            </w:r>
            <w:bookmarkEnd w:id="19"/>
            <w:bookmarkEnd w:id="20"/>
            <w:bookmarkEnd w:id="21"/>
            <w:bookmarkEnd w:id="22"/>
            <w:bookmarkEnd w:id="23"/>
            <w:r w:rsidR="007C020D" w:rsidRPr="0065395F">
              <w:rPr>
                <w:szCs w:val="22"/>
              </w:rPr>
              <w:t xml:space="preserve"> receipt of </w:t>
            </w:r>
            <w:bookmarkStart w:id="24" w:name="_9kMIH5YVt39A9CDZS50kh"/>
            <w:bookmarkStart w:id="25" w:name="_9kMIH5YVt3AB9CEaS50kh"/>
            <w:r w:rsidR="007C020D" w:rsidRPr="0065395F">
              <w:rPr>
                <w:szCs w:val="22"/>
              </w:rPr>
              <w:t>Notice</w:t>
            </w:r>
            <w:bookmarkEnd w:id="24"/>
            <w:bookmarkEnd w:id="25"/>
            <w:r w:rsidR="007C020D" w:rsidRPr="0065395F">
              <w:rPr>
                <w:szCs w:val="22"/>
              </w:rPr>
              <w:t xml:space="preserve"> from </w:t>
            </w:r>
            <w:bookmarkStart w:id="26" w:name="_9kMK6K6ZWu4BC7CDLNH2w"/>
            <w:bookmarkStart w:id="27" w:name="_9kMK6K6ZWu4AB7CEMNH2w"/>
            <w:bookmarkStart w:id="28" w:name="_9kMK6K6ZWu4AB7CFNNH2w"/>
            <w:bookmarkStart w:id="29" w:name="_9kMK6K6ZWu4AB7CGONH2w"/>
            <w:bookmarkStart w:id="30" w:name="_9kMK6K6ZWu4AB7CHPNH2w"/>
            <w:bookmarkStart w:id="31" w:name="_9kMK6K6ZWu4AB7CIQNH2w"/>
            <w:bookmarkStart w:id="32" w:name="_9kMK6K6ZWu4AB7CJRNH2w"/>
            <w:bookmarkStart w:id="33" w:name="_9kMK6K6ZWu4AB7CKSNH2w"/>
            <w:r w:rsidR="007C020D" w:rsidRPr="0065395F">
              <w:rPr>
                <w:szCs w:val="22"/>
              </w:rPr>
              <w:t>Buyer</w:t>
            </w:r>
            <w:bookmarkEnd w:id="26"/>
            <w:bookmarkEnd w:id="27"/>
            <w:bookmarkEnd w:id="28"/>
            <w:bookmarkEnd w:id="29"/>
            <w:bookmarkEnd w:id="30"/>
            <w:bookmarkEnd w:id="31"/>
            <w:bookmarkEnd w:id="32"/>
            <w:bookmarkEnd w:id="33"/>
            <w:r w:rsidR="007C020D" w:rsidRPr="0065395F">
              <w:rPr>
                <w:szCs w:val="22"/>
              </w:rPr>
              <w:t xml:space="preserve"> of </w:t>
            </w:r>
            <w:bookmarkStart w:id="34" w:name="_9kMK7L6ZWu4BC7CDLNH2w"/>
            <w:bookmarkStart w:id="35" w:name="_9kMK7L6ZWu4AB7CEMNH2w"/>
            <w:bookmarkStart w:id="36" w:name="_9kMK7L6ZWu4AB7CFNNH2w"/>
            <w:bookmarkStart w:id="37" w:name="_9kMK7L6ZWu4AB7CGONH2w"/>
            <w:bookmarkStart w:id="38" w:name="_9kMK7L6ZWu4AB7CHPNH2w"/>
            <w:bookmarkStart w:id="39" w:name="_9kMK7L6ZWu4AB7CIQNH2w"/>
            <w:bookmarkStart w:id="40" w:name="_9kMK7L6ZWu4AB7CJRNH2w"/>
            <w:bookmarkStart w:id="41" w:name="_9kMK7L6ZWu4AB7CKSNH2w"/>
            <w:r w:rsidR="007C020D" w:rsidRPr="0065395F">
              <w:rPr>
                <w:szCs w:val="22"/>
              </w:rPr>
              <w:t>Buyer’s</w:t>
            </w:r>
            <w:bookmarkEnd w:id="34"/>
            <w:bookmarkEnd w:id="35"/>
            <w:bookmarkEnd w:id="36"/>
            <w:bookmarkEnd w:id="37"/>
            <w:bookmarkEnd w:id="38"/>
            <w:bookmarkEnd w:id="39"/>
            <w:bookmarkEnd w:id="40"/>
            <w:bookmarkEnd w:id="41"/>
            <w:r w:rsidR="007C020D" w:rsidRPr="0065395F">
              <w:rPr>
                <w:szCs w:val="22"/>
              </w:rPr>
              <w:t xml:space="preserve"> intent to claim such </w:t>
            </w:r>
            <w:r w:rsidR="00A4123E" w:rsidRPr="0065395F">
              <w:rPr>
                <w:szCs w:val="22"/>
              </w:rPr>
              <w:t>Additional Products</w:t>
            </w:r>
            <w:r w:rsidR="007C020D" w:rsidRPr="0065395F">
              <w:rPr>
                <w:szCs w:val="22"/>
              </w:rPr>
              <w:t xml:space="preserve">, the </w:t>
            </w:r>
            <w:bookmarkStart w:id="42" w:name="_9kMI1H6ZWu4ABAFEaHqAI"/>
            <w:bookmarkStart w:id="43" w:name="_9kMI1H6ZWu4BCAFFbHqAI"/>
            <w:r w:rsidR="007C020D" w:rsidRPr="0065395F">
              <w:rPr>
                <w:szCs w:val="22"/>
              </w:rPr>
              <w:t>Parties</w:t>
            </w:r>
            <w:bookmarkEnd w:id="42"/>
            <w:bookmarkEnd w:id="43"/>
            <w:r w:rsidR="007C020D" w:rsidRPr="0065395F">
              <w:rPr>
                <w:szCs w:val="22"/>
              </w:rPr>
              <w:t xml:space="preserve"> shall determine the necessary actions and additional </w:t>
            </w:r>
            <w:bookmarkStart w:id="44" w:name="_9kMH0H6ZWu5778DHQI5BC"/>
            <w:r w:rsidR="007C020D" w:rsidRPr="0065395F">
              <w:rPr>
                <w:szCs w:val="22"/>
              </w:rPr>
              <w:t>costs</w:t>
            </w:r>
            <w:bookmarkEnd w:id="44"/>
            <w:r w:rsidR="007C020D" w:rsidRPr="0065395F">
              <w:rPr>
                <w:szCs w:val="22"/>
              </w:rPr>
              <w:t xml:space="preserve"> associated with such </w:t>
            </w:r>
            <w:r w:rsidR="00A4123E" w:rsidRPr="0065395F">
              <w:rPr>
                <w:szCs w:val="22"/>
              </w:rPr>
              <w:t>Additional Products</w:t>
            </w:r>
            <w:r w:rsidR="007C020D" w:rsidRPr="0065395F">
              <w:rPr>
                <w:szCs w:val="22"/>
              </w:rPr>
              <w:t xml:space="preserve">. </w:t>
            </w:r>
            <w:bookmarkStart w:id="45" w:name="_9kMM5H6ZWu4ABBEBcOowqx"/>
            <w:bookmarkStart w:id="46" w:name="_9kMM5H6ZWu4ABBECdOowqx"/>
            <w:bookmarkStart w:id="47" w:name="_9kMM5H6ZWu4ABBEDeOowqx"/>
            <w:bookmarkStart w:id="48" w:name="_9kMM5H6ZWu4ABBEFgOowqx"/>
            <w:bookmarkStart w:id="49" w:name="_9kMM5H6ZWu4ABBEGhOowqx"/>
            <w:r w:rsidR="007C020D" w:rsidRPr="0065395F">
              <w:rPr>
                <w:szCs w:val="22"/>
              </w:rPr>
              <w:t>Seller</w:t>
            </w:r>
            <w:bookmarkEnd w:id="45"/>
            <w:bookmarkEnd w:id="46"/>
            <w:bookmarkEnd w:id="47"/>
            <w:bookmarkEnd w:id="48"/>
            <w:bookmarkEnd w:id="49"/>
            <w:r w:rsidR="007C020D" w:rsidRPr="0065395F">
              <w:rPr>
                <w:szCs w:val="22"/>
              </w:rPr>
              <w:t xml:space="preserve"> shall have no obligation to alter the </w:t>
            </w:r>
            <w:bookmarkStart w:id="50" w:name="_9kMN6H6ZWu4BC8IJQ7bkuv4L"/>
            <w:r w:rsidR="007C020D" w:rsidRPr="0065395F">
              <w:rPr>
                <w:szCs w:val="22"/>
              </w:rPr>
              <w:t>Facility</w:t>
            </w:r>
            <w:bookmarkEnd w:id="50"/>
            <w:r w:rsidR="007C020D" w:rsidRPr="0065395F">
              <w:rPr>
                <w:szCs w:val="22"/>
              </w:rPr>
              <w:t xml:space="preserve"> </w:t>
            </w:r>
            <w:bookmarkStart w:id="51" w:name="_Hlk77261612"/>
            <w:r w:rsidR="007C020D" w:rsidRPr="0065395F">
              <w:rPr>
                <w:szCs w:val="22"/>
              </w:rPr>
              <w:t xml:space="preserve">or change the </w:t>
            </w:r>
            <w:r w:rsidR="007C020D" w:rsidRPr="0065395F">
              <w:rPr>
                <w:szCs w:val="22"/>
              </w:rPr>
              <w:lastRenderedPageBreak/>
              <w:t xml:space="preserve">Operating Restrictions </w:t>
            </w:r>
            <w:bookmarkEnd w:id="51"/>
            <w:r w:rsidR="007C020D" w:rsidRPr="0065395F">
              <w:rPr>
                <w:szCs w:val="22"/>
              </w:rPr>
              <w:t xml:space="preserve">unless the </w:t>
            </w:r>
            <w:bookmarkStart w:id="52" w:name="_9kMI2I6ZWu4ABAFEaHqAI"/>
            <w:bookmarkStart w:id="53" w:name="_9kMI2I6ZWu4BCAFFbHqAI"/>
            <w:r w:rsidR="007C020D" w:rsidRPr="0065395F">
              <w:rPr>
                <w:szCs w:val="22"/>
              </w:rPr>
              <w:t>Parties</w:t>
            </w:r>
            <w:bookmarkEnd w:id="52"/>
            <w:bookmarkEnd w:id="53"/>
            <w:r w:rsidR="007C020D" w:rsidRPr="0065395F">
              <w:rPr>
                <w:szCs w:val="22"/>
              </w:rPr>
              <w:t xml:space="preserve"> have agreed on all necessary terms and conditions relating to such alteration and </w:t>
            </w:r>
            <w:bookmarkStart w:id="54" w:name="_9kMK8M6ZWu4BC7CDLNH2w"/>
            <w:bookmarkStart w:id="55" w:name="_9kMK8M6ZWu4AB7CEMNH2w"/>
            <w:bookmarkStart w:id="56" w:name="_9kMK8M6ZWu4AB7CFNNH2w"/>
            <w:bookmarkStart w:id="57" w:name="_9kMK8M6ZWu4AB7CGONH2w"/>
            <w:bookmarkStart w:id="58" w:name="_9kMK8M6ZWu4AB7CHPNH2w"/>
            <w:bookmarkStart w:id="59" w:name="_9kMK8M6ZWu4AB7CIQNH2w"/>
            <w:bookmarkStart w:id="60" w:name="_9kMK8M6ZWu4AB7CJRNH2w"/>
            <w:bookmarkStart w:id="61" w:name="_9kMK8M6ZWu4AB7CKSNH2w"/>
            <w:r w:rsidR="007C020D" w:rsidRPr="0065395F">
              <w:rPr>
                <w:szCs w:val="22"/>
              </w:rPr>
              <w:t>Buyer</w:t>
            </w:r>
            <w:bookmarkEnd w:id="54"/>
            <w:bookmarkEnd w:id="55"/>
            <w:bookmarkEnd w:id="56"/>
            <w:bookmarkEnd w:id="57"/>
            <w:bookmarkEnd w:id="58"/>
            <w:bookmarkEnd w:id="59"/>
            <w:bookmarkEnd w:id="60"/>
            <w:bookmarkEnd w:id="61"/>
            <w:r w:rsidR="007C020D" w:rsidRPr="0065395F">
              <w:rPr>
                <w:szCs w:val="22"/>
              </w:rPr>
              <w:t xml:space="preserve"> has agreed to reimburse </w:t>
            </w:r>
            <w:bookmarkStart w:id="62" w:name="_9kMM6I6ZWu4ABBEBcOowqx"/>
            <w:bookmarkStart w:id="63" w:name="_9kMM6I6ZWu4ABBECdOowqx"/>
            <w:bookmarkStart w:id="64" w:name="_9kMM6I6ZWu4ABBEDeOowqx"/>
            <w:bookmarkStart w:id="65" w:name="_9kMM6I6ZWu4ABBEFgOowqx"/>
            <w:bookmarkStart w:id="66" w:name="_9kMM6I6ZWu4ABBEGhOowqx"/>
            <w:r w:rsidR="007C020D" w:rsidRPr="0065395F">
              <w:rPr>
                <w:szCs w:val="22"/>
              </w:rPr>
              <w:t>Seller</w:t>
            </w:r>
            <w:bookmarkEnd w:id="62"/>
            <w:bookmarkEnd w:id="63"/>
            <w:bookmarkEnd w:id="64"/>
            <w:bookmarkEnd w:id="65"/>
            <w:bookmarkEnd w:id="66"/>
            <w:r w:rsidR="007C020D" w:rsidRPr="0065395F">
              <w:rPr>
                <w:szCs w:val="22"/>
              </w:rPr>
              <w:t xml:space="preserve"> for all </w:t>
            </w:r>
            <w:bookmarkStart w:id="67" w:name="_9kMH1I6ZWu5778DHQI5BC"/>
            <w:r w:rsidR="007C020D" w:rsidRPr="0065395F">
              <w:rPr>
                <w:szCs w:val="22"/>
              </w:rPr>
              <w:t>costs</w:t>
            </w:r>
            <w:bookmarkEnd w:id="67"/>
            <w:r w:rsidR="007C020D" w:rsidRPr="0065395F">
              <w:rPr>
                <w:szCs w:val="22"/>
              </w:rPr>
              <w:t xml:space="preserve">, </w:t>
            </w:r>
            <w:bookmarkStart w:id="68" w:name="_9kMLK5YVt4668HMaQ49wx"/>
            <w:r w:rsidR="007C020D" w:rsidRPr="0065395F">
              <w:rPr>
                <w:szCs w:val="22"/>
              </w:rPr>
              <w:t>losses</w:t>
            </w:r>
            <w:bookmarkEnd w:id="68"/>
            <w:r w:rsidR="007C020D" w:rsidRPr="0065395F">
              <w:rPr>
                <w:szCs w:val="22"/>
              </w:rPr>
              <w:t>, and liabilities associated with such alteration</w:t>
            </w:r>
            <w:r w:rsidR="00A4123E" w:rsidRPr="0065395F">
              <w:rPr>
                <w:szCs w:val="22"/>
              </w:rPr>
              <w:t xml:space="preserve">.  </w:t>
            </w:r>
            <w:r w:rsidR="0093011F" w:rsidRPr="0065395F">
              <w:rPr>
                <w:szCs w:val="22"/>
              </w:rPr>
              <w:t xml:space="preserve">The </w:t>
            </w:r>
            <w:bookmarkStart w:id="69" w:name="_9kMI3J6ZWu4ABAFEaHqAI"/>
            <w:bookmarkStart w:id="70" w:name="_9kMI3J6ZWu4BCAFFbHqAI"/>
            <w:r w:rsidR="0093011F" w:rsidRPr="0065395F">
              <w:rPr>
                <w:szCs w:val="22"/>
              </w:rPr>
              <w:t>Parties</w:t>
            </w:r>
            <w:bookmarkEnd w:id="69"/>
            <w:bookmarkEnd w:id="70"/>
            <w:r w:rsidR="0093011F" w:rsidRPr="0065395F">
              <w:rPr>
                <w:szCs w:val="22"/>
              </w:rPr>
              <w:t xml:space="preserve"> agree to negotiate in good faith with respect to the development of further </w:t>
            </w:r>
            <w:bookmarkStart w:id="71" w:name="_9kMNM5YVt46667FQ7vuirsuA"/>
            <w:r w:rsidR="0093011F" w:rsidRPr="0065395F">
              <w:rPr>
                <w:szCs w:val="22"/>
              </w:rPr>
              <w:t>agreements</w:t>
            </w:r>
            <w:bookmarkEnd w:id="71"/>
            <w:r w:rsidR="0093011F" w:rsidRPr="0065395F">
              <w:rPr>
                <w:szCs w:val="22"/>
              </w:rPr>
              <w:t xml:space="preserve"> and documentation necessary to effectuate the transfer of such Additional Products, including </w:t>
            </w:r>
            <w:bookmarkStart w:id="72" w:name="_9kMON5YVt46667FQ7vuirsuA"/>
            <w:r w:rsidR="0093011F" w:rsidRPr="0065395F">
              <w:rPr>
                <w:szCs w:val="22"/>
              </w:rPr>
              <w:t>agreement</w:t>
            </w:r>
            <w:bookmarkEnd w:id="72"/>
            <w:r w:rsidR="0093011F" w:rsidRPr="0065395F">
              <w:rPr>
                <w:szCs w:val="22"/>
              </w:rPr>
              <w:t xml:space="preserve"> with respect to </w:t>
            </w:r>
            <w:bookmarkStart w:id="73" w:name="DocXTextRef135"/>
            <w:r w:rsidR="0093011F" w:rsidRPr="0065395F">
              <w:rPr>
                <w:szCs w:val="22"/>
              </w:rPr>
              <w:t>(</w:t>
            </w:r>
            <w:proofErr w:type="spellStart"/>
            <w:r w:rsidR="0093011F" w:rsidRPr="0065395F">
              <w:rPr>
                <w:szCs w:val="22"/>
              </w:rPr>
              <w:t>i</w:t>
            </w:r>
            <w:proofErr w:type="spellEnd"/>
            <w:r w:rsidR="0093011F" w:rsidRPr="0065395F">
              <w:rPr>
                <w:szCs w:val="22"/>
              </w:rPr>
              <w:t>)</w:t>
            </w:r>
            <w:bookmarkEnd w:id="73"/>
            <w:r w:rsidR="0093011F" w:rsidRPr="0065395F">
              <w:rPr>
                <w:szCs w:val="22"/>
              </w:rPr>
              <w:t xml:space="preserve"> appropriate transfer, delivery and risk of </w:t>
            </w:r>
            <w:bookmarkStart w:id="74" w:name="_9kMML5YVt4668HMaQ49wx"/>
            <w:r w:rsidR="0093011F" w:rsidRPr="0065395F">
              <w:rPr>
                <w:szCs w:val="22"/>
              </w:rPr>
              <w:t>loss</w:t>
            </w:r>
            <w:bookmarkEnd w:id="74"/>
            <w:r w:rsidR="0093011F" w:rsidRPr="0065395F">
              <w:rPr>
                <w:szCs w:val="22"/>
              </w:rPr>
              <w:t xml:space="preserve"> mechanisms, and (ii) appropriate allocation of any additional </w:t>
            </w:r>
            <w:bookmarkStart w:id="75" w:name="_9kMH2J6ZWu5778DHQI5BC"/>
            <w:r w:rsidR="0093011F" w:rsidRPr="0065395F">
              <w:rPr>
                <w:szCs w:val="22"/>
              </w:rPr>
              <w:t>costs</w:t>
            </w:r>
            <w:bookmarkEnd w:id="75"/>
            <w:r w:rsidR="0093011F" w:rsidRPr="0065395F">
              <w:rPr>
                <w:szCs w:val="22"/>
              </w:rPr>
              <w:t xml:space="preserve"> to </w:t>
            </w:r>
            <w:bookmarkStart w:id="76" w:name="_9kMKAO6ZWu4BC7CDLNH2w"/>
            <w:bookmarkStart w:id="77" w:name="_9kMKAO6ZWu4AB7CEMNH2w"/>
            <w:bookmarkStart w:id="78" w:name="_9kMKAO6ZWu4AB7CFNNH2w"/>
            <w:bookmarkStart w:id="79" w:name="_9kMKAO6ZWu4AB7CGONH2w"/>
            <w:bookmarkStart w:id="80" w:name="_9kMKAO6ZWu4AB7CHPNH2w"/>
            <w:bookmarkStart w:id="81" w:name="_9kMKAO6ZWu4AB7CIQNH2w"/>
            <w:bookmarkStart w:id="82" w:name="_9kMKAO6ZWu4AB7CJRNH2w"/>
            <w:bookmarkStart w:id="83" w:name="_9kMKAO6ZWu4AB7CKSNH2w"/>
            <w:r w:rsidR="0093011F" w:rsidRPr="0065395F">
              <w:rPr>
                <w:szCs w:val="22"/>
              </w:rPr>
              <w:t>Buyer</w:t>
            </w:r>
            <w:bookmarkEnd w:id="76"/>
            <w:bookmarkEnd w:id="77"/>
            <w:bookmarkEnd w:id="78"/>
            <w:bookmarkEnd w:id="79"/>
            <w:bookmarkEnd w:id="80"/>
            <w:bookmarkEnd w:id="81"/>
            <w:bookmarkEnd w:id="82"/>
            <w:bookmarkEnd w:id="83"/>
            <w:r w:rsidR="0093011F" w:rsidRPr="0065395F">
              <w:rPr>
                <w:szCs w:val="22"/>
              </w:rPr>
              <w:t xml:space="preserve">, as set forth above; </w:t>
            </w:r>
            <w:r w:rsidR="0093011F" w:rsidRPr="0065395F">
              <w:rPr>
                <w:i/>
                <w:iCs/>
                <w:szCs w:val="22"/>
              </w:rPr>
              <w:t>provided</w:t>
            </w:r>
            <w:r w:rsidR="0093011F" w:rsidRPr="0065395F">
              <w:rPr>
                <w:szCs w:val="22"/>
              </w:rPr>
              <w:t xml:space="preserve">, that the </w:t>
            </w:r>
            <w:bookmarkStart w:id="84" w:name="_9kMI4K6ZWu4ABAFEaHqAI"/>
            <w:bookmarkStart w:id="85" w:name="_9kMI4K6ZWu4BCAFFbHqAI"/>
            <w:r w:rsidR="0093011F" w:rsidRPr="0065395F">
              <w:rPr>
                <w:szCs w:val="22"/>
              </w:rPr>
              <w:t>Parties</w:t>
            </w:r>
            <w:bookmarkEnd w:id="84"/>
            <w:bookmarkEnd w:id="85"/>
            <w:r w:rsidR="0093011F" w:rsidRPr="0065395F">
              <w:rPr>
                <w:szCs w:val="22"/>
              </w:rPr>
              <w:t xml:space="preserve"> acknowledge and agree that such terms are not intended to alter the other </w:t>
            </w:r>
            <w:bookmarkStart w:id="86" w:name="_9kMHG5YVt4668IJXDrwv0koiW1AC"/>
            <w:r w:rsidR="0093011F" w:rsidRPr="0065395F">
              <w:rPr>
                <w:szCs w:val="22"/>
              </w:rPr>
              <w:t>material terms</w:t>
            </w:r>
            <w:bookmarkEnd w:id="86"/>
            <w:r w:rsidR="0093011F" w:rsidRPr="0065395F">
              <w:rPr>
                <w:szCs w:val="22"/>
              </w:rPr>
              <w:t xml:space="preserve"> of the PPA</w:t>
            </w:r>
            <w:r w:rsidR="008768CD" w:rsidRPr="0065395F">
              <w:rPr>
                <w:szCs w:val="22"/>
              </w:rPr>
              <w:t>,</w:t>
            </w:r>
            <w:r w:rsidR="00DA11F3" w:rsidRPr="0065395F">
              <w:rPr>
                <w:szCs w:val="22"/>
              </w:rPr>
              <w:t xml:space="preserve"> require Seller to make material modifications to the </w:t>
            </w:r>
            <w:r w:rsidR="008768CD" w:rsidRPr="0065395F">
              <w:rPr>
                <w:szCs w:val="22"/>
              </w:rPr>
              <w:t xml:space="preserve">Facility </w:t>
            </w:r>
            <w:r w:rsidR="00DA11F3" w:rsidRPr="0065395F">
              <w:rPr>
                <w:szCs w:val="22"/>
              </w:rPr>
              <w:t>or material upgrades or other material modifications to any interconnection or transmission facilities (other than those for which Buyer has agreed to fund)</w:t>
            </w:r>
            <w:r w:rsidR="008768CD" w:rsidRPr="0065395F">
              <w:rPr>
                <w:szCs w:val="22"/>
              </w:rPr>
              <w:t>,</w:t>
            </w:r>
            <w:r w:rsidR="00DA11F3" w:rsidRPr="0065395F">
              <w:rPr>
                <w:szCs w:val="22"/>
              </w:rPr>
              <w:t xml:space="preserve"> require Seller to reduce the generation of </w:t>
            </w:r>
            <w:r w:rsidR="008768CD" w:rsidRPr="0065395F">
              <w:rPr>
                <w:szCs w:val="22"/>
              </w:rPr>
              <w:t xml:space="preserve">Facility Energy </w:t>
            </w:r>
            <w:r w:rsidR="00DA11F3" w:rsidRPr="0065395F">
              <w:rPr>
                <w:szCs w:val="22"/>
              </w:rPr>
              <w:t>and delivery thereof to the interconnection point (or restrict Seller’s flexibility in offering, bidding, planning and scheduling such energy)</w:t>
            </w:r>
            <w:r w:rsidR="00E94FBB" w:rsidRPr="0065395F">
              <w:rPr>
                <w:szCs w:val="22"/>
              </w:rPr>
              <w:t xml:space="preserve">, </w:t>
            </w:r>
            <w:r w:rsidR="00DA11F3" w:rsidRPr="0065395F">
              <w:rPr>
                <w:szCs w:val="22"/>
              </w:rPr>
              <w:t xml:space="preserve">or interfere with qualification, offering, bidding, planning, scheduling or other disposition of Environmental Attributes. </w:t>
            </w:r>
          </w:p>
          <w:p w14:paraId="615773E7" w14:textId="134AE972" w:rsidR="00DA11F3" w:rsidRPr="0065395F" w:rsidRDefault="00DA11F3" w:rsidP="0065395F">
            <w:pPr>
              <w:pStyle w:val="00PlainText"/>
              <w:spacing w:before="120" w:after="120"/>
              <w:ind w:left="90" w:right="90"/>
              <w:rPr>
                <w:szCs w:val="22"/>
              </w:rPr>
            </w:pPr>
            <w:r w:rsidRPr="0065395F">
              <w:rPr>
                <w:szCs w:val="22"/>
              </w:rPr>
              <w:t xml:space="preserve">If the CPUC adopts a Slice of Day reform, or another similar type of reform that results in a change in the RA capacity product, these additional attributes will not be considered Additional Products. </w:t>
            </w:r>
          </w:p>
        </w:tc>
      </w:tr>
      <w:tr w:rsidR="00DA11F3" w:rsidRPr="0065395F" w14:paraId="52766C1B" w14:textId="77777777" w:rsidTr="00B50DE9">
        <w:tc>
          <w:tcPr>
            <w:tcW w:w="2430" w:type="dxa"/>
          </w:tcPr>
          <w:p w14:paraId="0F02F7D3" w14:textId="2C164F09" w:rsidR="00DA11F3" w:rsidRPr="0065395F" w:rsidRDefault="00DA11F3" w:rsidP="0065395F">
            <w:pPr>
              <w:spacing w:before="120" w:after="120" w:line="240" w:lineRule="auto"/>
              <w:ind w:left="90" w:right="90"/>
              <w:rPr>
                <w:rFonts w:ascii="Times New Roman" w:hAnsi="Times New Roman"/>
                <w:b/>
                <w:color w:val="282828"/>
              </w:rPr>
            </w:pPr>
            <w:r w:rsidRPr="0065395F">
              <w:rPr>
                <w:rFonts w:ascii="Times New Roman" w:hAnsi="Times New Roman"/>
                <w:b/>
              </w:rPr>
              <w:lastRenderedPageBreak/>
              <w:t>Facility Development Milestones:</w:t>
            </w:r>
          </w:p>
        </w:tc>
        <w:tc>
          <w:tcPr>
            <w:tcW w:w="6930" w:type="dxa"/>
          </w:tcPr>
          <w:p w14:paraId="0F6F2B32" w14:textId="604796EE" w:rsidR="00DA11F3" w:rsidRPr="0065395F" w:rsidRDefault="00DA11F3" w:rsidP="00EE58FE">
            <w:pPr>
              <w:pStyle w:val="JeffsPreferredBullets"/>
              <w:numPr>
                <w:ilvl w:val="0"/>
                <w:numId w:val="2"/>
              </w:numPr>
              <w:spacing w:before="120" w:after="120" w:line="240" w:lineRule="auto"/>
              <w:ind w:left="808"/>
              <w:contextualSpacing w:val="0"/>
              <w:jc w:val="both"/>
              <w:rPr>
                <w:rFonts w:ascii="Times New Roman" w:hAnsi="Times New Roman" w:cs="Times New Roman"/>
                <w:lang w:val="es-HN"/>
              </w:rPr>
            </w:pPr>
            <w:r w:rsidRPr="0065395F">
              <w:rPr>
                <w:rFonts w:ascii="Times New Roman" w:hAnsi="Times New Roman" w:cs="Times New Roman"/>
                <w:lang w:val="es-HN"/>
              </w:rPr>
              <w:t>[</w:t>
            </w:r>
            <w:r w:rsidRPr="0065395F">
              <w:rPr>
                <w:rFonts w:ascii="Times New Roman" w:hAnsi="Times New Roman" w:cs="Times New Roman"/>
                <w:i/>
                <w:iCs/>
                <w:highlight w:val="lightGray"/>
                <w:lang w:val="es-HN"/>
              </w:rPr>
              <w:t>mm/</w:t>
            </w:r>
            <w:proofErr w:type="spellStart"/>
            <w:r w:rsidRPr="0065395F">
              <w:rPr>
                <w:rFonts w:ascii="Times New Roman" w:hAnsi="Times New Roman" w:cs="Times New Roman"/>
                <w:i/>
                <w:iCs/>
                <w:highlight w:val="lightGray"/>
                <w:lang w:val="es-HN"/>
              </w:rPr>
              <w:t>dd</w:t>
            </w:r>
            <w:proofErr w:type="spellEnd"/>
            <w:r w:rsidRPr="0065395F">
              <w:rPr>
                <w:rFonts w:ascii="Times New Roman" w:hAnsi="Times New Roman" w:cs="Times New Roman"/>
                <w:i/>
                <w:iCs/>
                <w:highlight w:val="lightGray"/>
                <w:lang w:val="es-HN"/>
              </w:rPr>
              <w:t>/</w:t>
            </w:r>
            <w:proofErr w:type="spellStart"/>
            <w:r w:rsidRPr="0065395F">
              <w:rPr>
                <w:rFonts w:ascii="Times New Roman" w:hAnsi="Times New Roman" w:cs="Times New Roman"/>
                <w:i/>
                <w:iCs/>
                <w:highlight w:val="lightGray"/>
                <w:lang w:val="es-HN"/>
              </w:rPr>
              <w:t>yyyy</w:t>
            </w:r>
            <w:proofErr w:type="spellEnd"/>
            <w:r w:rsidRPr="0065395F">
              <w:rPr>
                <w:rFonts w:ascii="Times New Roman" w:hAnsi="Times New Roman" w:cs="Times New Roman"/>
                <w:lang w:val="es-HN"/>
              </w:rPr>
              <w:t xml:space="preserve">] – </w:t>
            </w:r>
            <w:proofErr w:type="spellStart"/>
            <w:r w:rsidRPr="0065395F">
              <w:rPr>
                <w:rFonts w:ascii="Times New Roman" w:hAnsi="Times New Roman" w:cs="Times New Roman"/>
                <w:lang w:val="es-HN"/>
              </w:rPr>
              <w:t>Demonstrate</w:t>
            </w:r>
            <w:proofErr w:type="spellEnd"/>
            <w:r w:rsidRPr="0065395F">
              <w:rPr>
                <w:rFonts w:ascii="Times New Roman" w:hAnsi="Times New Roman" w:cs="Times New Roman"/>
                <w:lang w:val="es-HN"/>
              </w:rPr>
              <w:t xml:space="preserve"> site control</w:t>
            </w:r>
          </w:p>
          <w:p w14:paraId="36D8D270" w14:textId="3576055F" w:rsidR="00DA11F3" w:rsidRPr="0065395F" w:rsidRDefault="00DA11F3" w:rsidP="00EE58FE">
            <w:pPr>
              <w:pStyle w:val="JeffsPreferredBullets"/>
              <w:numPr>
                <w:ilvl w:val="0"/>
                <w:numId w:val="2"/>
              </w:numPr>
              <w:spacing w:before="120" w:after="120" w:line="240" w:lineRule="auto"/>
              <w:ind w:left="808"/>
              <w:contextualSpacing w:val="0"/>
              <w:jc w:val="both"/>
              <w:rPr>
                <w:rFonts w:ascii="Times New Roman" w:hAnsi="Times New Roman" w:cs="Times New Roman"/>
              </w:rPr>
            </w:pPr>
            <w:r w:rsidRPr="0065395F">
              <w:rPr>
                <w:rFonts w:ascii="Times New Roman" w:hAnsi="Times New Roman" w:cs="Times New Roman"/>
              </w:rPr>
              <w:t>[</w:t>
            </w:r>
            <w:r w:rsidRPr="0065395F">
              <w:rPr>
                <w:rFonts w:ascii="Times New Roman" w:hAnsi="Times New Roman" w:cs="Times New Roman"/>
                <w:i/>
                <w:iCs/>
                <w:highlight w:val="lightGray"/>
              </w:rPr>
              <w:t>mm/dd/</w:t>
            </w:r>
            <w:proofErr w:type="spellStart"/>
            <w:r w:rsidRPr="0065395F">
              <w:rPr>
                <w:rFonts w:ascii="Times New Roman" w:hAnsi="Times New Roman" w:cs="Times New Roman"/>
                <w:i/>
                <w:iCs/>
                <w:highlight w:val="lightGray"/>
              </w:rPr>
              <w:t>yyyy</w:t>
            </w:r>
            <w:proofErr w:type="spellEnd"/>
            <w:r w:rsidRPr="0065395F">
              <w:rPr>
                <w:rFonts w:ascii="Times New Roman" w:hAnsi="Times New Roman" w:cs="Times New Roman"/>
              </w:rPr>
              <w:t>] – Execute Interconnection Agreement</w:t>
            </w:r>
          </w:p>
          <w:p w14:paraId="370DF226" w14:textId="77777777" w:rsidR="00DA11F3" w:rsidRPr="0065395F" w:rsidRDefault="00DA11F3" w:rsidP="00EE58FE">
            <w:pPr>
              <w:pStyle w:val="JeffsPreferredBullets"/>
              <w:numPr>
                <w:ilvl w:val="0"/>
                <w:numId w:val="2"/>
              </w:numPr>
              <w:spacing w:before="120" w:after="120" w:line="240" w:lineRule="auto"/>
              <w:ind w:left="808"/>
              <w:contextualSpacing w:val="0"/>
              <w:jc w:val="both"/>
              <w:rPr>
                <w:rFonts w:ascii="Times New Roman" w:hAnsi="Times New Roman" w:cs="Times New Roman"/>
              </w:rPr>
            </w:pPr>
            <w:r w:rsidRPr="0065395F">
              <w:rPr>
                <w:rFonts w:ascii="Times New Roman" w:hAnsi="Times New Roman" w:cs="Times New Roman"/>
              </w:rPr>
              <w:t>[</w:t>
            </w:r>
            <w:r w:rsidRPr="0065395F">
              <w:rPr>
                <w:rFonts w:ascii="Times New Roman" w:hAnsi="Times New Roman" w:cs="Times New Roman"/>
                <w:i/>
                <w:iCs/>
                <w:highlight w:val="lightGray"/>
              </w:rPr>
              <w:t>mm/dd/</w:t>
            </w:r>
            <w:proofErr w:type="spellStart"/>
            <w:r w:rsidRPr="0065395F">
              <w:rPr>
                <w:rFonts w:ascii="Times New Roman" w:hAnsi="Times New Roman" w:cs="Times New Roman"/>
                <w:i/>
                <w:iCs/>
                <w:highlight w:val="lightGray"/>
              </w:rPr>
              <w:t>yyyy</w:t>
            </w:r>
            <w:proofErr w:type="spellEnd"/>
            <w:r w:rsidRPr="0065395F">
              <w:rPr>
                <w:rFonts w:ascii="Times New Roman" w:hAnsi="Times New Roman" w:cs="Times New Roman"/>
              </w:rPr>
              <w:t>] – Procure major equipment</w:t>
            </w:r>
          </w:p>
          <w:p w14:paraId="2D0F5F04" w14:textId="77777777" w:rsidR="00DA11F3" w:rsidRPr="0065395F" w:rsidRDefault="00DA11F3" w:rsidP="00EE58FE">
            <w:pPr>
              <w:pStyle w:val="JeffsPreferredBullets"/>
              <w:numPr>
                <w:ilvl w:val="0"/>
                <w:numId w:val="2"/>
              </w:numPr>
              <w:spacing w:before="120" w:after="120" w:line="240" w:lineRule="auto"/>
              <w:ind w:left="808"/>
              <w:contextualSpacing w:val="0"/>
              <w:jc w:val="both"/>
              <w:rPr>
                <w:rFonts w:ascii="Times New Roman" w:hAnsi="Times New Roman" w:cs="Times New Roman"/>
              </w:rPr>
            </w:pPr>
            <w:r w:rsidRPr="0065395F">
              <w:rPr>
                <w:rFonts w:ascii="Times New Roman" w:hAnsi="Times New Roman" w:cs="Times New Roman"/>
              </w:rPr>
              <w:t>[</w:t>
            </w:r>
            <w:r w:rsidRPr="0065395F">
              <w:rPr>
                <w:rFonts w:ascii="Times New Roman" w:hAnsi="Times New Roman" w:cs="Times New Roman"/>
                <w:i/>
                <w:iCs/>
                <w:highlight w:val="lightGray"/>
              </w:rPr>
              <w:t>mm/dd/</w:t>
            </w:r>
            <w:proofErr w:type="spellStart"/>
            <w:r w:rsidRPr="0065395F">
              <w:rPr>
                <w:rFonts w:ascii="Times New Roman" w:hAnsi="Times New Roman" w:cs="Times New Roman"/>
                <w:i/>
                <w:iCs/>
                <w:highlight w:val="lightGray"/>
              </w:rPr>
              <w:t>yyyy</w:t>
            </w:r>
            <w:proofErr w:type="spellEnd"/>
            <w:r w:rsidRPr="0065395F">
              <w:rPr>
                <w:rFonts w:ascii="Times New Roman" w:hAnsi="Times New Roman" w:cs="Times New Roman"/>
              </w:rPr>
              <w:t xml:space="preserve">] – Obtain federal and state discretionary permits </w:t>
            </w:r>
          </w:p>
          <w:p w14:paraId="08DCD173" w14:textId="77777777" w:rsidR="00DA11F3" w:rsidRPr="0065395F" w:rsidRDefault="00DA11F3" w:rsidP="00EE58FE">
            <w:pPr>
              <w:pStyle w:val="JeffsPreferredBullets"/>
              <w:numPr>
                <w:ilvl w:val="0"/>
                <w:numId w:val="2"/>
              </w:numPr>
              <w:spacing w:before="120" w:after="120" w:line="240" w:lineRule="auto"/>
              <w:ind w:left="808"/>
              <w:contextualSpacing w:val="0"/>
              <w:jc w:val="both"/>
              <w:rPr>
                <w:rFonts w:ascii="Times New Roman" w:hAnsi="Times New Roman" w:cs="Times New Roman"/>
              </w:rPr>
            </w:pPr>
            <w:r w:rsidRPr="0065395F">
              <w:rPr>
                <w:rFonts w:ascii="Times New Roman" w:hAnsi="Times New Roman" w:cs="Times New Roman"/>
              </w:rPr>
              <w:t>[</w:t>
            </w:r>
            <w:r w:rsidRPr="0065395F">
              <w:rPr>
                <w:rFonts w:ascii="Times New Roman" w:hAnsi="Times New Roman" w:cs="Times New Roman"/>
                <w:i/>
                <w:iCs/>
                <w:highlight w:val="lightGray"/>
              </w:rPr>
              <w:t>mm/dd/</w:t>
            </w:r>
            <w:proofErr w:type="spellStart"/>
            <w:r w:rsidRPr="0065395F">
              <w:rPr>
                <w:rFonts w:ascii="Times New Roman" w:hAnsi="Times New Roman" w:cs="Times New Roman"/>
                <w:i/>
                <w:iCs/>
                <w:highlight w:val="lightGray"/>
              </w:rPr>
              <w:t>yyyy</w:t>
            </w:r>
            <w:proofErr w:type="spellEnd"/>
            <w:r w:rsidRPr="0065395F">
              <w:rPr>
                <w:rFonts w:ascii="Times New Roman" w:hAnsi="Times New Roman" w:cs="Times New Roman"/>
              </w:rPr>
              <w:t>] – Guaranteed Construction Start Date</w:t>
            </w:r>
          </w:p>
          <w:p w14:paraId="1A5BD297" w14:textId="77777777" w:rsidR="00DA11F3" w:rsidRPr="0065395F" w:rsidRDefault="00DA11F3" w:rsidP="00EE58FE">
            <w:pPr>
              <w:pStyle w:val="JeffsPreferredBullets"/>
              <w:numPr>
                <w:ilvl w:val="0"/>
                <w:numId w:val="2"/>
              </w:numPr>
              <w:spacing w:before="120" w:after="120" w:line="240" w:lineRule="auto"/>
              <w:ind w:left="808"/>
              <w:contextualSpacing w:val="0"/>
              <w:jc w:val="both"/>
              <w:rPr>
                <w:rFonts w:ascii="Times New Roman" w:hAnsi="Times New Roman" w:cs="Times New Roman"/>
              </w:rPr>
            </w:pPr>
            <w:r w:rsidRPr="0065395F">
              <w:rPr>
                <w:rFonts w:ascii="Times New Roman" w:hAnsi="Times New Roman" w:cs="Times New Roman"/>
              </w:rPr>
              <w:t>[</w:t>
            </w:r>
            <w:r w:rsidRPr="0065395F">
              <w:rPr>
                <w:rFonts w:ascii="Times New Roman" w:hAnsi="Times New Roman" w:cs="Times New Roman"/>
                <w:i/>
                <w:iCs/>
                <w:highlight w:val="lightGray"/>
              </w:rPr>
              <w:t>mm/dd/</w:t>
            </w:r>
            <w:proofErr w:type="spellStart"/>
            <w:r w:rsidRPr="0065395F">
              <w:rPr>
                <w:rFonts w:ascii="Times New Roman" w:hAnsi="Times New Roman" w:cs="Times New Roman"/>
                <w:i/>
                <w:iCs/>
                <w:highlight w:val="lightGray"/>
              </w:rPr>
              <w:t>yyyy</w:t>
            </w:r>
            <w:proofErr w:type="spellEnd"/>
            <w:r w:rsidRPr="0065395F">
              <w:rPr>
                <w:rFonts w:ascii="Times New Roman" w:hAnsi="Times New Roman" w:cs="Times New Roman"/>
              </w:rPr>
              <w:t>] – Obtain Full Capacity Deliverability Status</w:t>
            </w:r>
          </w:p>
          <w:p w14:paraId="7FEA16B7" w14:textId="4262E79D" w:rsidR="00DA11F3" w:rsidRPr="0065395F" w:rsidRDefault="00DA11F3" w:rsidP="00EE58FE">
            <w:pPr>
              <w:pStyle w:val="JeffsPreferredBullets"/>
              <w:numPr>
                <w:ilvl w:val="0"/>
                <w:numId w:val="2"/>
              </w:numPr>
              <w:spacing w:before="120" w:after="120" w:line="240" w:lineRule="auto"/>
              <w:ind w:left="808"/>
              <w:contextualSpacing w:val="0"/>
              <w:jc w:val="both"/>
              <w:rPr>
                <w:rFonts w:ascii="Times New Roman" w:hAnsi="Times New Roman" w:cs="Times New Roman"/>
              </w:rPr>
            </w:pPr>
            <w:r w:rsidRPr="0065395F">
              <w:rPr>
                <w:rFonts w:ascii="Times New Roman" w:hAnsi="Times New Roman" w:cs="Times New Roman"/>
              </w:rPr>
              <w:t>[</w:t>
            </w:r>
            <w:r w:rsidRPr="0065395F">
              <w:rPr>
                <w:rFonts w:ascii="Times New Roman" w:hAnsi="Times New Roman" w:cs="Times New Roman"/>
                <w:i/>
                <w:iCs/>
                <w:highlight w:val="lightGray"/>
              </w:rPr>
              <w:t>mm/dd/</w:t>
            </w:r>
            <w:proofErr w:type="spellStart"/>
            <w:r w:rsidRPr="0065395F">
              <w:rPr>
                <w:rFonts w:ascii="Times New Roman" w:hAnsi="Times New Roman" w:cs="Times New Roman"/>
                <w:i/>
                <w:iCs/>
                <w:highlight w:val="lightGray"/>
              </w:rPr>
              <w:t>yyyy</w:t>
            </w:r>
            <w:proofErr w:type="spellEnd"/>
            <w:r w:rsidRPr="0065395F">
              <w:rPr>
                <w:rFonts w:ascii="Times New Roman" w:hAnsi="Times New Roman" w:cs="Times New Roman"/>
              </w:rPr>
              <w:t xml:space="preserve">] – </w:t>
            </w:r>
            <w:r w:rsidR="006F377A" w:rsidRPr="0065395F">
              <w:rPr>
                <w:rFonts w:ascii="Times New Roman" w:hAnsi="Times New Roman" w:cs="Times New Roman"/>
              </w:rPr>
              <w:t xml:space="preserve">Guaranteed </w:t>
            </w:r>
            <w:r w:rsidRPr="0065395F">
              <w:rPr>
                <w:rFonts w:ascii="Times New Roman" w:hAnsi="Times New Roman" w:cs="Times New Roman"/>
              </w:rPr>
              <w:t>Commercial Operation Date</w:t>
            </w:r>
          </w:p>
        </w:tc>
      </w:tr>
      <w:tr w:rsidR="00DA11F3" w:rsidRPr="0065395F" w14:paraId="2EBFEBB7" w14:textId="77777777" w:rsidTr="00B50DE9">
        <w:tc>
          <w:tcPr>
            <w:tcW w:w="2430" w:type="dxa"/>
          </w:tcPr>
          <w:p w14:paraId="37684DDA" w14:textId="675C4D5F" w:rsidR="00DA11F3" w:rsidRPr="0065395F" w:rsidRDefault="00DA11F3" w:rsidP="0065395F">
            <w:pPr>
              <w:pStyle w:val="00PlainText"/>
              <w:spacing w:before="120" w:after="120"/>
              <w:ind w:left="90" w:right="90"/>
              <w:rPr>
                <w:b/>
                <w:bCs/>
                <w:szCs w:val="22"/>
              </w:rPr>
            </w:pPr>
            <w:r w:rsidRPr="0065395F">
              <w:rPr>
                <w:b/>
                <w:color w:val="282828"/>
                <w:szCs w:val="22"/>
              </w:rPr>
              <w:t>C</w:t>
            </w:r>
            <w:r w:rsidR="00C2111B" w:rsidRPr="0065395F">
              <w:rPr>
                <w:b/>
                <w:color w:val="282828"/>
                <w:szCs w:val="22"/>
              </w:rPr>
              <w:t>ompliance Expenditure Cap</w:t>
            </w:r>
            <w:r w:rsidRPr="0065395F">
              <w:rPr>
                <w:b/>
                <w:color w:val="282828"/>
                <w:szCs w:val="22"/>
              </w:rPr>
              <w:t>:</w:t>
            </w:r>
          </w:p>
        </w:tc>
        <w:tc>
          <w:tcPr>
            <w:tcW w:w="6930" w:type="dxa"/>
          </w:tcPr>
          <w:p w14:paraId="377F6E86" w14:textId="2B036826" w:rsidR="00DA11F3" w:rsidRPr="0065395F" w:rsidRDefault="006856FE" w:rsidP="0065395F">
            <w:pPr>
              <w:pStyle w:val="00PlainText"/>
              <w:spacing w:before="120" w:after="120"/>
              <w:ind w:left="90" w:right="90"/>
              <w:rPr>
                <w:szCs w:val="22"/>
              </w:rPr>
            </w:pPr>
            <w:r w:rsidRPr="0065395F">
              <w:rPr>
                <w:rFonts w:eastAsia="Times New Roman"/>
                <w:szCs w:val="22"/>
              </w:rPr>
              <w:t>If a change in law occurring after the Effective Date increase</w:t>
            </w:r>
            <w:r w:rsidR="009B08EA">
              <w:rPr>
                <w:rFonts w:eastAsia="Times New Roman"/>
                <w:szCs w:val="22"/>
              </w:rPr>
              <w:t>s</w:t>
            </w:r>
            <w:r w:rsidRPr="0065395F">
              <w:rPr>
                <w:rFonts w:eastAsia="Times New Roman"/>
                <w:szCs w:val="22"/>
              </w:rPr>
              <w:t xml:space="preserve"> Seller’s known or reasonably expected costs and expenses to comply with Seller’s obligations under the PPA with respect to obtaining, maintaining, conveying or effectuating Buyer’s use of</w:t>
            </w:r>
            <w:r w:rsidR="00DA695F" w:rsidRPr="0065395F">
              <w:rPr>
                <w:rFonts w:eastAsia="Times New Roman"/>
                <w:szCs w:val="22"/>
              </w:rPr>
              <w:t xml:space="preserve"> Environmental Attributes or</w:t>
            </w:r>
            <w:r w:rsidRPr="0065395F">
              <w:rPr>
                <w:rFonts w:eastAsia="Times New Roman"/>
                <w:szCs w:val="22"/>
              </w:rPr>
              <w:t xml:space="preserve"> Capacity Attributes (any action required to be taken by Seller to comply with such change in law, a “</w:t>
            </w:r>
            <w:r w:rsidRPr="0065395F">
              <w:rPr>
                <w:rFonts w:eastAsia="Times New Roman"/>
                <w:b/>
                <w:bCs/>
                <w:szCs w:val="22"/>
                <w:u w:val="single"/>
              </w:rPr>
              <w:t>Compliance Action</w:t>
            </w:r>
            <w:r w:rsidRPr="0065395F">
              <w:rPr>
                <w:rFonts w:eastAsia="Times New Roman"/>
                <w:szCs w:val="22"/>
              </w:rPr>
              <w:t>”)</w:t>
            </w:r>
            <w:r w:rsidR="009B08EA">
              <w:rPr>
                <w:rFonts w:eastAsia="Times New Roman"/>
                <w:szCs w:val="22"/>
              </w:rPr>
              <w:t>,</w:t>
            </w:r>
            <w:r w:rsidRPr="0065395F">
              <w:rPr>
                <w:rFonts w:eastAsia="Times New Roman"/>
                <w:szCs w:val="22"/>
              </w:rPr>
              <w:t xml:space="preserve"> then the Parties agree that the maximum aggregate amount of costs and expenses Seller shall be required to bear during the Delivery Term to comply with all such Compliance Actions shall be capped at twenty</w:t>
            </w:r>
            <w:r w:rsidR="00DA695F" w:rsidRPr="0065395F">
              <w:rPr>
                <w:rFonts w:eastAsia="Times New Roman"/>
                <w:szCs w:val="22"/>
              </w:rPr>
              <w:t>-five</w:t>
            </w:r>
            <w:r w:rsidRPr="0065395F">
              <w:rPr>
                <w:rFonts w:eastAsia="Times New Roman"/>
                <w:szCs w:val="22"/>
              </w:rPr>
              <w:t xml:space="preserve"> thousand dollars ($2</w:t>
            </w:r>
            <w:r w:rsidR="00DA695F" w:rsidRPr="0065395F">
              <w:rPr>
                <w:rFonts w:eastAsia="Times New Roman"/>
                <w:szCs w:val="22"/>
              </w:rPr>
              <w:t>5</w:t>
            </w:r>
            <w:r w:rsidRPr="0065395F">
              <w:rPr>
                <w:rFonts w:eastAsia="Times New Roman"/>
                <w:szCs w:val="22"/>
              </w:rPr>
              <w:t xml:space="preserve">,000) per MW of </w:t>
            </w:r>
            <w:r w:rsidR="00DA695F" w:rsidRPr="0065395F">
              <w:rPr>
                <w:rFonts w:eastAsia="Times New Roman"/>
                <w:szCs w:val="22"/>
              </w:rPr>
              <w:t>Guaranteed Capacity</w:t>
            </w:r>
            <w:r w:rsidR="00C2111B" w:rsidRPr="0065395F">
              <w:rPr>
                <w:rFonts w:eastAsia="Times New Roman"/>
                <w:szCs w:val="22"/>
              </w:rPr>
              <w:t>,</w:t>
            </w:r>
            <w:r w:rsidRPr="0065395F">
              <w:rPr>
                <w:rFonts w:eastAsia="Times New Roman"/>
                <w:szCs w:val="22"/>
              </w:rPr>
              <w:t xml:space="preserve"> in the aggregate over the term of the PPA.  If Buyer agrees to fund </w:t>
            </w:r>
            <w:r w:rsidR="00C2111B" w:rsidRPr="0065395F">
              <w:rPr>
                <w:rFonts w:eastAsia="Times New Roman"/>
                <w:szCs w:val="22"/>
              </w:rPr>
              <w:t xml:space="preserve">such </w:t>
            </w:r>
            <w:r w:rsidRPr="0065395F">
              <w:rPr>
                <w:rFonts w:eastAsia="Times New Roman"/>
                <w:szCs w:val="22"/>
              </w:rPr>
              <w:t xml:space="preserve">Compliance Actions </w:t>
            </w:r>
            <w:proofErr w:type="gramStart"/>
            <w:r w:rsidRPr="0065395F">
              <w:rPr>
                <w:rFonts w:eastAsia="Times New Roman"/>
                <w:szCs w:val="22"/>
              </w:rPr>
              <w:t>in excess of</w:t>
            </w:r>
            <w:proofErr w:type="gramEnd"/>
            <w:r w:rsidRPr="0065395F">
              <w:rPr>
                <w:rFonts w:eastAsia="Times New Roman"/>
                <w:szCs w:val="22"/>
              </w:rPr>
              <w:t xml:space="preserve"> the foregoing limits, Seller shall take such actions</w:t>
            </w:r>
            <w:r w:rsidR="00C2111B" w:rsidRPr="0065395F">
              <w:rPr>
                <w:rFonts w:eastAsia="Times New Roman"/>
                <w:szCs w:val="22"/>
              </w:rPr>
              <w:t xml:space="preserve">.  </w:t>
            </w:r>
          </w:p>
        </w:tc>
      </w:tr>
      <w:tr w:rsidR="00DA11F3" w:rsidRPr="0065395F" w14:paraId="3B556B08" w14:textId="77777777" w:rsidTr="00B50DE9">
        <w:tc>
          <w:tcPr>
            <w:tcW w:w="2430" w:type="dxa"/>
          </w:tcPr>
          <w:p w14:paraId="56625371" w14:textId="4A63AFE4" w:rsidR="00DA11F3" w:rsidRPr="0065395F" w:rsidRDefault="00DA11F3" w:rsidP="0065395F">
            <w:pPr>
              <w:spacing w:before="120" w:after="120" w:line="240" w:lineRule="auto"/>
              <w:ind w:left="90" w:right="90"/>
              <w:rPr>
                <w:rFonts w:ascii="Times New Roman" w:hAnsi="Times New Roman"/>
                <w:b/>
              </w:rPr>
            </w:pPr>
            <w:r w:rsidRPr="0065395F">
              <w:rPr>
                <w:rFonts w:ascii="Times New Roman" w:hAnsi="Times New Roman"/>
                <w:b/>
                <w:color w:val="282828"/>
              </w:rPr>
              <w:t>Change in Tax Law:</w:t>
            </w:r>
          </w:p>
        </w:tc>
        <w:tc>
          <w:tcPr>
            <w:tcW w:w="6930" w:type="dxa"/>
          </w:tcPr>
          <w:p w14:paraId="098C12CD" w14:textId="4359C5EA" w:rsidR="00DA11F3" w:rsidRPr="0065395F" w:rsidRDefault="00DA11F3" w:rsidP="0065395F">
            <w:pPr>
              <w:pStyle w:val="00PlainText"/>
              <w:spacing w:before="120" w:after="120"/>
              <w:ind w:left="90" w:right="90"/>
              <w:rPr>
                <w:szCs w:val="22"/>
              </w:rPr>
            </w:pPr>
            <w:proofErr w:type="gramStart"/>
            <w:r w:rsidRPr="0065395F">
              <w:rPr>
                <w:szCs w:val="22"/>
              </w:rPr>
              <w:t>In the event that</w:t>
            </w:r>
            <w:proofErr w:type="gramEnd"/>
            <w:r w:rsidRPr="0065395F">
              <w:rPr>
                <w:szCs w:val="22"/>
              </w:rPr>
              <w:t xml:space="preserve"> as a result of a Change in Tax Law, Seller or the </w:t>
            </w:r>
            <w:r w:rsidR="0065395F">
              <w:rPr>
                <w:szCs w:val="22"/>
              </w:rPr>
              <w:t>Facility</w:t>
            </w:r>
            <w:r w:rsidRPr="0065395F">
              <w:rPr>
                <w:szCs w:val="22"/>
              </w:rPr>
              <w:t xml:space="preserve"> becomes eligible for or entitled to any new Tax Benefits or changes to or extensions of existing Tax Benefits, Seller and Buyer shall share such </w:t>
            </w:r>
            <w:r w:rsidRPr="0065395F">
              <w:rPr>
                <w:szCs w:val="22"/>
              </w:rPr>
              <w:lastRenderedPageBreak/>
              <w:t xml:space="preserve">additional Tax Benefit Amount on a 50%/50% basis by making an adjustment to the Contract Price for the remainder of the Delivery Term.  </w:t>
            </w:r>
          </w:p>
          <w:p w14:paraId="5DBA053B" w14:textId="77777777" w:rsidR="00DA11F3" w:rsidRPr="0065395F" w:rsidRDefault="00DA11F3" w:rsidP="0065395F">
            <w:pPr>
              <w:pStyle w:val="00PlainText"/>
              <w:spacing w:before="120" w:after="120"/>
              <w:ind w:left="90" w:right="90"/>
              <w:rPr>
                <w:szCs w:val="22"/>
              </w:rPr>
            </w:pPr>
            <w:r w:rsidRPr="0065395F">
              <w:rPr>
                <w:szCs w:val="22"/>
              </w:rPr>
              <w:t>“</w:t>
            </w:r>
            <w:r w:rsidRPr="0065395F">
              <w:rPr>
                <w:b/>
                <w:bCs/>
                <w:szCs w:val="22"/>
                <w:u w:val="single"/>
              </w:rPr>
              <w:t>Change in Tax Law</w:t>
            </w:r>
            <w:r w:rsidRPr="0065395F">
              <w:rPr>
                <w:szCs w:val="22"/>
              </w:rPr>
              <w:t>” means (a) (</w:t>
            </w:r>
            <w:proofErr w:type="spellStart"/>
            <w:r w:rsidRPr="0065395F">
              <w:rPr>
                <w:szCs w:val="22"/>
              </w:rPr>
              <w:t>i</w:t>
            </w:r>
            <w:proofErr w:type="spellEnd"/>
            <w:r w:rsidRPr="0065395F">
              <w:rPr>
                <w:szCs w:val="22"/>
              </w:rPr>
              <w:t>) any change in or amendment to the Code or another applicable federal income tax statute; (ii) any change in, or issuance of, or promulgation of any temporary or final regulations by the U.S. Department of the Treasury that would result in any change to the interpretation of the Tax Code or existing temporary or final regulations promulgated by the U.S. Department of the Treasury; (iii) any IRS guidance published in the Internal Revenue Bulletin and/or Cumulative Bulletin, notice, announcement, revenue ruling, revenue procedure, technical advice memorandum, examination directive or similar authority issued by the IRS Large Business and International division, or any published advice, advisory, or legal memorandum issued by IRS Chief Counsel, that applies, advances or articulates a new or different interpretation or analysis of any provision of the Code, any other applicable federal tax statute or any temporary or final Treasury Regulation promulgated thereunder; or (iv) any change in the interpretation of any of the authorities described in clauses (a)(</w:t>
            </w:r>
            <w:proofErr w:type="spellStart"/>
            <w:r w:rsidRPr="0065395F">
              <w:rPr>
                <w:szCs w:val="22"/>
              </w:rPr>
              <w:t>i</w:t>
            </w:r>
            <w:proofErr w:type="spellEnd"/>
            <w:r w:rsidRPr="0065395F">
              <w:rPr>
                <w:szCs w:val="22"/>
              </w:rPr>
              <w:t>) through (iii) by a decision of the U.S. Tax Court, the U.S. Court of Federal Claims, a U.S. District Court, a U.S. Court of Appeals or the U.S. Supreme Court, that applies, advances or articulates a new or different interpretation or analysis of federal income tax law, and (b) in the case of (a)(</w:t>
            </w:r>
            <w:proofErr w:type="spellStart"/>
            <w:r w:rsidRPr="0065395F">
              <w:rPr>
                <w:szCs w:val="22"/>
              </w:rPr>
              <w:t>i</w:t>
            </w:r>
            <w:proofErr w:type="spellEnd"/>
            <w:r w:rsidRPr="0065395F">
              <w:rPr>
                <w:szCs w:val="22"/>
              </w:rPr>
              <w:t>) through (iv), such change or new or different interpretation, as applicable, occurs between the Execution Date and before the end of the Congress in session when the Commercial Operation Date occurs.</w:t>
            </w:r>
          </w:p>
          <w:p w14:paraId="15280506" w14:textId="397D99AE" w:rsidR="00DA11F3" w:rsidRPr="0065395F" w:rsidRDefault="00DA11F3" w:rsidP="0065395F">
            <w:pPr>
              <w:pStyle w:val="00PlainText"/>
              <w:spacing w:before="120" w:after="120"/>
              <w:ind w:left="90" w:right="90"/>
              <w:rPr>
                <w:szCs w:val="22"/>
              </w:rPr>
            </w:pPr>
            <w:r w:rsidRPr="0065395F">
              <w:rPr>
                <w:szCs w:val="22"/>
              </w:rPr>
              <w:t>“</w:t>
            </w:r>
            <w:r w:rsidRPr="0065395F">
              <w:rPr>
                <w:b/>
                <w:bCs/>
                <w:szCs w:val="22"/>
                <w:u w:val="single"/>
              </w:rPr>
              <w:t>Tax Benefits</w:t>
            </w:r>
            <w:r w:rsidRPr="0065395F">
              <w:rPr>
                <w:szCs w:val="22"/>
              </w:rPr>
              <w:t xml:space="preserve">” means any state, local and/or federal tax benefit or incentive, including energy credits determined under Section 45 or 48 of the Internal Revenue Code of 1986, as amended, investment tax credits, production tax credits, depreciation, amortization, deduction, expense, exemption, preferential rate, and/or other tax benefit or incentive associated with the production of renewable energy and/or the operation of, construction, investments in or ownership of the </w:t>
            </w:r>
            <w:r w:rsidR="0065395F">
              <w:rPr>
                <w:szCs w:val="22"/>
              </w:rPr>
              <w:t>Facility</w:t>
            </w:r>
            <w:r w:rsidRPr="0065395F">
              <w:rPr>
                <w:szCs w:val="22"/>
              </w:rPr>
              <w:t xml:space="preserve"> (including any cash payment or grant).</w:t>
            </w:r>
          </w:p>
        </w:tc>
      </w:tr>
      <w:tr w:rsidR="00DA11F3" w:rsidRPr="0065395F" w14:paraId="7CC91D50" w14:textId="77777777" w:rsidTr="00B50DE9">
        <w:tc>
          <w:tcPr>
            <w:tcW w:w="2430" w:type="dxa"/>
          </w:tcPr>
          <w:p w14:paraId="56F7E00E" w14:textId="6862144F" w:rsidR="00DA11F3" w:rsidRPr="0065395F" w:rsidRDefault="00DA11F3" w:rsidP="0065395F">
            <w:pPr>
              <w:spacing w:before="120" w:after="120" w:line="240" w:lineRule="auto"/>
              <w:ind w:left="90" w:right="90"/>
              <w:rPr>
                <w:rFonts w:ascii="Times New Roman" w:hAnsi="Times New Roman"/>
                <w:b/>
              </w:rPr>
            </w:pPr>
            <w:r w:rsidRPr="0065395F">
              <w:rPr>
                <w:rFonts w:ascii="Times New Roman" w:hAnsi="Times New Roman"/>
                <w:b/>
                <w:color w:val="282828"/>
              </w:rPr>
              <w:lastRenderedPageBreak/>
              <w:t>Force Majeure</w:t>
            </w:r>
            <w:r w:rsidR="00A23BBA" w:rsidRPr="0065395F">
              <w:rPr>
                <w:rFonts w:ascii="Times New Roman" w:hAnsi="Times New Roman"/>
                <w:b/>
                <w:color w:val="282828"/>
              </w:rPr>
              <w:t xml:space="preserve"> Event</w:t>
            </w:r>
            <w:r w:rsidRPr="0065395F">
              <w:rPr>
                <w:rFonts w:ascii="Times New Roman" w:hAnsi="Times New Roman"/>
                <w:b/>
                <w:color w:val="282828"/>
              </w:rPr>
              <w:t>:</w:t>
            </w:r>
          </w:p>
        </w:tc>
        <w:tc>
          <w:tcPr>
            <w:tcW w:w="6930" w:type="dxa"/>
          </w:tcPr>
          <w:p w14:paraId="251315D1" w14:textId="3D44BEB3" w:rsidR="00A23BBA" w:rsidRPr="0065395F" w:rsidRDefault="00A23BBA" w:rsidP="0065395F">
            <w:pPr>
              <w:pStyle w:val="00PlainText"/>
              <w:spacing w:before="120" w:after="120"/>
              <w:ind w:left="90" w:right="90"/>
              <w:rPr>
                <w:szCs w:val="22"/>
              </w:rPr>
            </w:pPr>
            <w:r w:rsidRPr="0065395F">
              <w:rPr>
                <w:szCs w:val="22"/>
              </w:rPr>
              <w:t>“</w:t>
            </w:r>
            <w:r w:rsidRPr="0065395F">
              <w:rPr>
                <w:b/>
                <w:bCs/>
                <w:szCs w:val="22"/>
                <w:u w:val="single"/>
              </w:rPr>
              <w:t>Force Majeure Event</w:t>
            </w:r>
            <w:r w:rsidRPr="0065395F">
              <w:rPr>
                <w:szCs w:val="22"/>
              </w:rPr>
              <w:t>” means any act or event 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p>
          <w:p w14:paraId="6838BB87" w14:textId="3CB52FAC" w:rsidR="00A23BBA" w:rsidRPr="0065395F" w:rsidRDefault="00A23BBA" w:rsidP="0065395F">
            <w:pPr>
              <w:pStyle w:val="00PlainText"/>
              <w:spacing w:before="120" w:after="120"/>
              <w:ind w:left="90" w:right="90"/>
              <w:rPr>
                <w:szCs w:val="22"/>
              </w:rPr>
            </w:pPr>
            <w:r w:rsidRPr="0065395F">
              <w:rPr>
                <w:szCs w:val="22"/>
              </w:rPr>
              <w:t>Notwithstanding the foregoing, the term “Force Majeure Event” does not include (</w:t>
            </w:r>
            <w:proofErr w:type="spellStart"/>
            <w:r w:rsidRPr="0065395F">
              <w:rPr>
                <w:szCs w:val="22"/>
              </w:rPr>
              <w:t>i</w:t>
            </w:r>
            <w:proofErr w:type="spellEnd"/>
            <w:r w:rsidRPr="0065395F">
              <w:rPr>
                <w:szCs w:val="22"/>
              </w:rPr>
              <w:t>) economic conditions that render a Party’s performance of this Agreement at the Contract Price unprofitable or otherwise uneconomic (including Buyer’s ability to buy the Product at a lower price, or Seller’s ability to sell Product at a higher price, than the Contract Price</w:t>
            </w:r>
            <w:r w:rsidR="00126F2D">
              <w:rPr>
                <w:szCs w:val="22"/>
              </w:rPr>
              <w:t>)</w:t>
            </w:r>
            <w:r w:rsidRPr="0065395F">
              <w:rPr>
                <w:szCs w:val="22"/>
              </w:rPr>
              <w:t xml:space="preserve">; (ii) Seller’s inability to obtain permits or approvals of any type for the construction, operation, or maintenance of the Generating Facility or the Storage Facility; (iii) the inability of a Party to make payments when due under this Agreement, unless the cause of such inability is an event that would otherwise </w:t>
            </w:r>
            <w:r w:rsidRPr="0065395F">
              <w:rPr>
                <w:szCs w:val="22"/>
              </w:rPr>
              <w:lastRenderedPageBreak/>
              <w:t>constitute a Force Majeure Event as described above that disables physical or electronic facilities necessary to transfer funds to the payee Party; (iv) a Curtailment Period, except to the extent such Curtailment Period is caused by a Force Majeure Event; (v) Seller’s inability to obtain sufficient labor, equipment, materials, or other resources to build or operate the Generating Facility except to the extent such inability is caused by a Force Majeure Event; (vi) a strike, work stoppage or labor dispute limited only to any one or more of Seller, Seller’s Affiliates, Seller’s contractors, their subcontractors thereof or any other third party employed by Seller to work on the Generating Facility; (vii) any equipment failure except if such equipment failure is caused by a Force Majeure Event; or (viii) events otherwise constituting a Force Majeure Event that prevent Seller from achieving Construction Start or Commercial Operation of the Generating Facility, except to the extent expressly permitted as an extension pursuant to the Development Cure Period under the PPA.</w:t>
            </w:r>
          </w:p>
          <w:p w14:paraId="15F540F1" w14:textId="3BECB09B" w:rsidR="00DA11F3" w:rsidRPr="0065395F" w:rsidRDefault="00A23BBA" w:rsidP="0065395F">
            <w:pPr>
              <w:pStyle w:val="00PlainText"/>
              <w:spacing w:before="120" w:after="120"/>
              <w:ind w:left="90" w:right="90"/>
              <w:rPr>
                <w:szCs w:val="22"/>
              </w:rPr>
            </w:pPr>
            <w:r w:rsidRPr="0065395F">
              <w:rPr>
                <w:szCs w:val="22"/>
              </w:rPr>
              <w:t>Within two (2) Business Days of commencement of a Force Majeure Event, the non-performing Party shall provide the other Party with oral notice of the event of Force Majeure, and within two (2) weeks of the commencement of the Force Majeure Event</w:t>
            </w:r>
            <w:r w:rsidR="00B4258C">
              <w:rPr>
                <w:szCs w:val="22"/>
              </w:rPr>
              <w:t>,</w:t>
            </w:r>
            <w:r w:rsidRPr="0065395F">
              <w:rPr>
                <w:szCs w:val="22"/>
              </w:rPr>
              <w:t xml:space="preserve"> the non-performing Party shall provide the other Party with Notice in the form of a letter describing in detail the particulars of the occurrence giving rise to the Force Majeure claim.  Failure to provide timely Notice as described in the preceding sentence constitutes a waiver of a Force Majeure claim as to all periods prior to the delivery of a timely Notice.  The suspension of performance due to a claim of Force Majeure must be of no greater scope and of no longer duration than is required by the Force Majeure.</w:t>
            </w:r>
            <w:r w:rsidR="00DA11F3" w:rsidRPr="0065395F">
              <w:rPr>
                <w:szCs w:val="22"/>
              </w:rPr>
              <w:t xml:space="preserve"> </w:t>
            </w:r>
          </w:p>
        </w:tc>
      </w:tr>
      <w:tr w:rsidR="00DA11F3" w:rsidRPr="0065395F" w14:paraId="64F818FA" w14:textId="77777777" w:rsidTr="00B50DE9">
        <w:tc>
          <w:tcPr>
            <w:tcW w:w="2430" w:type="dxa"/>
          </w:tcPr>
          <w:p w14:paraId="0C7B2A00" w14:textId="73ABE595" w:rsidR="00DA11F3" w:rsidRPr="0065395F" w:rsidRDefault="00DA11F3" w:rsidP="0065395F">
            <w:pPr>
              <w:spacing w:before="120" w:after="120" w:line="240" w:lineRule="auto"/>
              <w:ind w:left="90" w:right="90"/>
              <w:rPr>
                <w:rFonts w:ascii="Times New Roman" w:hAnsi="Times New Roman"/>
                <w:b/>
              </w:rPr>
            </w:pPr>
            <w:r w:rsidRPr="0065395F">
              <w:rPr>
                <w:rFonts w:ascii="Times New Roman" w:hAnsi="Times New Roman"/>
                <w:b/>
                <w:color w:val="282828"/>
              </w:rPr>
              <w:lastRenderedPageBreak/>
              <w:t>Dispute Resolution:</w:t>
            </w:r>
          </w:p>
        </w:tc>
        <w:tc>
          <w:tcPr>
            <w:tcW w:w="6930" w:type="dxa"/>
          </w:tcPr>
          <w:p w14:paraId="6C07092E" w14:textId="1154A289" w:rsidR="00DA11F3" w:rsidRPr="0065395F" w:rsidRDefault="00DA11F3" w:rsidP="0065395F">
            <w:pPr>
              <w:pStyle w:val="00PlainText"/>
              <w:spacing w:before="120" w:after="120"/>
              <w:ind w:left="90" w:right="90"/>
              <w:rPr>
                <w:szCs w:val="22"/>
              </w:rPr>
            </w:pPr>
            <w:r w:rsidRPr="0065395F">
              <w:rPr>
                <w:szCs w:val="22"/>
              </w:rPr>
              <w:t>In the event of any claim, controversy or dispute between the Parties arising out of or relating to or in connection with this Agreement any Party may deliver to the other Parties notice of the Dispute with a detailed description of the underlying circumstances of such Dispute (a “</w:t>
            </w:r>
            <w:r w:rsidRPr="0065395F">
              <w:rPr>
                <w:b/>
                <w:bCs/>
                <w:szCs w:val="22"/>
                <w:u w:val="single"/>
              </w:rPr>
              <w:t>Dispute Notice</w:t>
            </w:r>
            <w:r w:rsidRPr="0065395F">
              <w:rPr>
                <w:szCs w:val="22"/>
              </w:rPr>
              <w:t xml:space="preserve">”).  The senior officers of the Parties shall meet and confer as often as they deem reasonably necessary during the thirty (30) day period following receipt of the Dispute Notice in good faith negotiations to resolve the Dispute to the satisfaction of each Party. In the event a Dispute is not resolved by the expiration of the thirty (30) day period, then a Party may pursue any legal remedy available to it in accordance with </w:t>
            </w:r>
            <w:r w:rsidR="003E29E4" w:rsidRPr="0065395F">
              <w:rPr>
                <w:szCs w:val="22"/>
              </w:rPr>
              <w:t>the PPA</w:t>
            </w:r>
            <w:r w:rsidRPr="0065395F">
              <w:rPr>
                <w:szCs w:val="22"/>
              </w:rPr>
              <w:t>.</w:t>
            </w:r>
          </w:p>
        </w:tc>
      </w:tr>
      <w:tr w:rsidR="00DA11F3" w:rsidRPr="0065395F" w14:paraId="5701D6A5" w14:textId="77777777" w:rsidTr="00B50DE9">
        <w:tc>
          <w:tcPr>
            <w:tcW w:w="2430" w:type="dxa"/>
          </w:tcPr>
          <w:p w14:paraId="2087CA70" w14:textId="3D2C07F7" w:rsidR="00DA11F3" w:rsidRPr="0065395F" w:rsidRDefault="00DA11F3"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t>Applicable Law:</w:t>
            </w:r>
          </w:p>
        </w:tc>
        <w:tc>
          <w:tcPr>
            <w:tcW w:w="6930" w:type="dxa"/>
          </w:tcPr>
          <w:p w14:paraId="146DE549" w14:textId="061078AA" w:rsidR="00DA11F3" w:rsidRPr="0065395F" w:rsidRDefault="00DA11F3" w:rsidP="0065395F">
            <w:pPr>
              <w:pStyle w:val="00PlainText"/>
              <w:spacing w:before="120" w:after="120"/>
              <w:ind w:left="90" w:right="90"/>
              <w:rPr>
                <w:szCs w:val="22"/>
              </w:rPr>
            </w:pPr>
            <w:r w:rsidRPr="0065395F">
              <w:rPr>
                <w:szCs w:val="22"/>
              </w:rPr>
              <w:t>California</w:t>
            </w:r>
          </w:p>
        </w:tc>
      </w:tr>
      <w:tr w:rsidR="003E29E4" w:rsidRPr="0065395F" w14:paraId="40F72FCF" w14:textId="77777777" w:rsidTr="00B50DE9">
        <w:tc>
          <w:tcPr>
            <w:tcW w:w="2430" w:type="dxa"/>
          </w:tcPr>
          <w:p w14:paraId="0D2E0380" w14:textId="2CEE2A8A" w:rsidR="003E29E4" w:rsidRPr="0065395F" w:rsidRDefault="003E29E4" w:rsidP="0065395F">
            <w:pPr>
              <w:spacing w:before="120" w:after="120" w:line="240" w:lineRule="auto"/>
              <w:ind w:left="90" w:right="90"/>
              <w:rPr>
                <w:rFonts w:ascii="Times New Roman" w:hAnsi="Times New Roman"/>
                <w:b/>
                <w:color w:val="282828"/>
              </w:rPr>
            </w:pPr>
            <w:r w:rsidRPr="0065395F">
              <w:rPr>
                <w:rFonts w:ascii="Times New Roman" w:hAnsi="Times New Roman"/>
                <w:b/>
                <w:color w:val="282828"/>
              </w:rPr>
              <w:t>No Recourse to Members of Buyer:</w:t>
            </w:r>
          </w:p>
        </w:tc>
        <w:tc>
          <w:tcPr>
            <w:tcW w:w="6930" w:type="dxa"/>
          </w:tcPr>
          <w:p w14:paraId="394902A4" w14:textId="3A543977" w:rsidR="003E29E4" w:rsidRPr="0065395F" w:rsidRDefault="003E29E4" w:rsidP="0065395F">
            <w:pPr>
              <w:pStyle w:val="00PlainText"/>
              <w:spacing w:before="120" w:after="120"/>
              <w:ind w:left="90" w:right="90"/>
              <w:rPr>
                <w:szCs w:val="22"/>
              </w:rPr>
            </w:pPr>
            <w:r w:rsidRPr="0065395F">
              <w:rPr>
                <w:szCs w:val="22"/>
              </w:rPr>
              <w:t xml:space="preserve">Buyer is organized as a Joint Powers Authorities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w:t>
            </w:r>
            <w:proofErr w:type="gramStart"/>
            <w:r w:rsidRPr="0065395F">
              <w:rPr>
                <w:szCs w:val="22"/>
              </w:rPr>
              <w:t>actions</w:t>
            </w:r>
            <w:proofErr w:type="gramEnd"/>
            <w:r w:rsidRPr="0065395F">
              <w:rPr>
                <w:szCs w:val="22"/>
              </w:rPr>
              <w:t xml:space="preserve"> or assert any remedies against any of Buyer’s constituent members in connection with the PPA.</w:t>
            </w:r>
          </w:p>
        </w:tc>
      </w:tr>
      <w:tr w:rsidR="003E29E4" w:rsidRPr="0065395F" w14:paraId="388A793D" w14:textId="77777777" w:rsidTr="00B50DE9">
        <w:tc>
          <w:tcPr>
            <w:tcW w:w="2430" w:type="dxa"/>
          </w:tcPr>
          <w:p w14:paraId="1CE324FC" w14:textId="16C3997D" w:rsidR="003E29E4" w:rsidRPr="0065395F" w:rsidRDefault="003E29E4" w:rsidP="0065395F">
            <w:pPr>
              <w:spacing w:before="120" w:after="120" w:line="240" w:lineRule="auto"/>
              <w:ind w:left="90" w:right="90"/>
              <w:rPr>
                <w:rFonts w:ascii="Times New Roman" w:hAnsi="Times New Roman"/>
              </w:rPr>
            </w:pPr>
            <w:r w:rsidRPr="0065395F">
              <w:rPr>
                <w:rFonts w:ascii="Times New Roman" w:hAnsi="Times New Roman"/>
                <w:b/>
                <w:color w:val="282828"/>
              </w:rPr>
              <w:lastRenderedPageBreak/>
              <w:t>Assignment:</w:t>
            </w:r>
          </w:p>
        </w:tc>
        <w:tc>
          <w:tcPr>
            <w:tcW w:w="6930" w:type="dxa"/>
          </w:tcPr>
          <w:p w14:paraId="510E9C2E" w14:textId="23BC0089" w:rsidR="003E29E4" w:rsidRPr="0065395F" w:rsidRDefault="003E29E4" w:rsidP="0065395F">
            <w:pPr>
              <w:pStyle w:val="00PlainText"/>
              <w:spacing w:before="120" w:after="120"/>
              <w:ind w:left="90" w:right="90"/>
              <w:rPr>
                <w:szCs w:val="22"/>
              </w:rPr>
            </w:pPr>
            <w:r w:rsidRPr="0065395F">
              <w:rPr>
                <w:szCs w:val="22"/>
              </w:rPr>
              <w:t>Except with respect to collateral assignment to support a financing by Seller of the Facility and assignment to an affiliate, prior written consent of the non-assigning party shall be required for assignment of any interest in the PPA</w:t>
            </w:r>
            <w:r w:rsidR="0047070A" w:rsidRPr="0065395F">
              <w:rPr>
                <w:szCs w:val="22"/>
              </w:rPr>
              <w:t>,</w:t>
            </w:r>
            <w:r w:rsidRPr="0065395F">
              <w:rPr>
                <w:szCs w:val="22"/>
              </w:rPr>
              <w:t xml:space="preserve"> including a change of control. </w:t>
            </w:r>
          </w:p>
        </w:tc>
      </w:tr>
      <w:tr w:rsidR="003E29E4" w:rsidRPr="0065395F" w14:paraId="08C3E01A" w14:textId="77777777" w:rsidTr="00B50DE9">
        <w:tc>
          <w:tcPr>
            <w:tcW w:w="2430" w:type="dxa"/>
          </w:tcPr>
          <w:p w14:paraId="3359DB8C" w14:textId="1A61BA80" w:rsidR="003E29E4" w:rsidRPr="0065395F" w:rsidRDefault="003E29E4" w:rsidP="0065395F">
            <w:pPr>
              <w:spacing w:before="120" w:after="120" w:line="240" w:lineRule="auto"/>
              <w:ind w:left="90" w:right="90"/>
              <w:rPr>
                <w:rFonts w:ascii="Times New Roman" w:hAnsi="Times New Roman"/>
                <w:b/>
              </w:rPr>
            </w:pPr>
            <w:r w:rsidRPr="0065395F">
              <w:rPr>
                <w:rFonts w:ascii="Times New Roman" w:hAnsi="Times New Roman"/>
                <w:b/>
                <w:color w:val="282828"/>
              </w:rPr>
              <w:t xml:space="preserve">Events of Default: </w:t>
            </w:r>
          </w:p>
        </w:tc>
        <w:tc>
          <w:tcPr>
            <w:tcW w:w="6930" w:type="dxa"/>
          </w:tcPr>
          <w:p w14:paraId="19486127" w14:textId="0DF2BC18" w:rsidR="003E29E4" w:rsidRPr="0065395F" w:rsidRDefault="00ED1AFE" w:rsidP="0065395F">
            <w:pPr>
              <w:pStyle w:val="00PlainText"/>
              <w:spacing w:before="120" w:after="120"/>
              <w:ind w:left="90" w:right="90"/>
              <w:rPr>
                <w:szCs w:val="22"/>
              </w:rPr>
            </w:pPr>
            <w:r w:rsidRPr="0065395F">
              <w:rPr>
                <w:szCs w:val="22"/>
              </w:rPr>
              <w:t xml:space="preserve">Events of Default shall include, but not be limited to, failure to pay any amounts when due, breach of representations and warranties, failure to perform covenants and material obligations in the PPA, bankruptcy, and assignment other than as permitted by the PPA.  In addition, it shall be a Seller Event of Default if </w:t>
            </w:r>
            <w:r w:rsidR="001A5A62" w:rsidRPr="0065395F">
              <w:rPr>
                <w:szCs w:val="22"/>
              </w:rPr>
              <w:t>Construction Start is not ach</w:t>
            </w:r>
            <w:r w:rsidR="00AB3605" w:rsidRPr="0065395F">
              <w:rPr>
                <w:szCs w:val="22"/>
              </w:rPr>
              <w:t>ie</w:t>
            </w:r>
            <w:r w:rsidR="001A5A62" w:rsidRPr="0065395F">
              <w:rPr>
                <w:szCs w:val="22"/>
              </w:rPr>
              <w:t>ved within 1</w:t>
            </w:r>
            <w:r w:rsidR="00B875D1">
              <w:rPr>
                <w:szCs w:val="22"/>
              </w:rPr>
              <w:t>2</w:t>
            </w:r>
            <w:r w:rsidR="001A5A62" w:rsidRPr="0065395F">
              <w:rPr>
                <w:szCs w:val="22"/>
              </w:rPr>
              <w:t xml:space="preserve">0 days after the Guaranteed Construction Start Date or </w:t>
            </w:r>
            <w:r w:rsidRPr="0065395F">
              <w:rPr>
                <w:szCs w:val="22"/>
              </w:rPr>
              <w:t xml:space="preserve">COD is not achieved within achieved within 60 days after the Guaranteed COD. </w:t>
            </w:r>
          </w:p>
        </w:tc>
      </w:tr>
    </w:tbl>
    <w:p w14:paraId="0DF80BB7" w14:textId="650CC736" w:rsidR="00DC23D0" w:rsidRPr="0065395F" w:rsidRDefault="00951014" w:rsidP="0065395F">
      <w:pPr>
        <w:spacing w:after="120" w:line="240" w:lineRule="auto"/>
        <w:rPr>
          <w:rFonts w:ascii="Times New Roman" w:hAnsi="Times New Roman"/>
        </w:rPr>
      </w:pPr>
    </w:p>
    <w:p w14:paraId="5B086EE0" w14:textId="3541A681" w:rsidR="006F54A7" w:rsidRPr="0065395F" w:rsidRDefault="006F54A7" w:rsidP="0065395F">
      <w:pPr>
        <w:autoSpaceDE w:val="0"/>
        <w:autoSpaceDN w:val="0"/>
        <w:adjustRightInd w:val="0"/>
        <w:spacing w:after="0" w:line="240" w:lineRule="auto"/>
        <w:rPr>
          <w:rFonts w:ascii="Times New Roman" w:hAnsi="Times New Roman"/>
          <w:b/>
          <w:bCs/>
          <w:color w:val="000000" w:themeColor="text1"/>
        </w:rPr>
      </w:pPr>
      <w:r w:rsidRPr="0065395F">
        <w:rPr>
          <w:rFonts w:ascii="Times New Roman" w:hAnsi="Times New Roman"/>
          <w:b/>
          <w:bCs/>
          <w:color w:val="000000" w:themeColor="text1"/>
        </w:rPr>
        <w:t>2.</w:t>
      </w:r>
      <w:r w:rsidRPr="0065395F">
        <w:rPr>
          <w:rFonts w:ascii="Times New Roman" w:hAnsi="Times New Roman"/>
          <w:b/>
          <w:bCs/>
          <w:color w:val="000000" w:themeColor="text1"/>
        </w:rPr>
        <w:tab/>
        <w:t>Additional Term Sheet Provisions</w:t>
      </w:r>
      <w:r w:rsidR="005B26E0">
        <w:rPr>
          <w:rFonts w:ascii="Times New Roman" w:hAnsi="Times New Roman"/>
          <w:b/>
          <w:bCs/>
          <w:color w:val="000000" w:themeColor="text1"/>
        </w:rPr>
        <w:t>.</w:t>
      </w:r>
    </w:p>
    <w:p w14:paraId="6D927119" w14:textId="77777777" w:rsidR="006F54A7" w:rsidRPr="0065395F" w:rsidRDefault="006F54A7" w:rsidP="0065395F">
      <w:pPr>
        <w:autoSpaceDE w:val="0"/>
        <w:autoSpaceDN w:val="0"/>
        <w:adjustRightInd w:val="0"/>
        <w:spacing w:after="0" w:line="240" w:lineRule="auto"/>
        <w:rPr>
          <w:rFonts w:ascii="Times New Roman" w:hAnsi="Times New Roman"/>
          <w:b/>
          <w:bCs/>
          <w:color w:val="000000" w:themeColor="text1"/>
        </w:rPr>
      </w:pPr>
    </w:p>
    <w:p w14:paraId="121A4D35" w14:textId="47E30540" w:rsidR="00D11390" w:rsidRDefault="006F54A7" w:rsidP="00360E06">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D11390">
        <w:rPr>
          <w:rFonts w:ascii="Times New Roman" w:hAnsi="Times New Roman"/>
          <w:b/>
          <w:bCs/>
          <w:color w:val="000000" w:themeColor="text1"/>
        </w:rPr>
        <w:t>N</w:t>
      </w:r>
      <w:r w:rsidR="000D4C0D" w:rsidRPr="00D11390">
        <w:rPr>
          <w:rFonts w:ascii="Times New Roman" w:hAnsi="Times New Roman"/>
          <w:b/>
          <w:bCs/>
          <w:color w:val="000000" w:themeColor="text1"/>
        </w:rPr>
        <w:t xml:space="preserve">o </w:t>
      </w:r>
      <w:r w:rsidRPr="00D11390">
        <w:rPr>
          <w:rFonts w:ascii="Times New Roman" w:hAnsi="Times New Roman"/>
          <w:b/>
          <w:bCs/>
          <w:color w:val="000000" w:themeColor="text1"/>
        </w:rPr>
        <w:t>Obligat</w:t>
      </w:r>
      <w:r w:rsidR="00B46ECC" w:rsidRPr="00D11390">
        <w:rPr>
          <w:rFonts w:ascii="Times New Roman" w:hAnsi="Times New Roman"/>
          <w:b/>
          <w:bCs/>
          <w:color w:val="000000" w:themeColor="text1"/>
        </w:rPr>
        <w:t>ion</w:t>
      </w:r>
      <w:r w:rsidRPr="00D11390">
        <w:rPr>
          <w:rFonts w:ascii="Times New Roman" w:hAnsi="Times New Roman"/>
          <w:b/>
          <w:bCs/>
          <w:color w:val="000000" w:themeColor="text1"/>
        </w:rPr>
        <w:t xml:space="preserve"> to Enter </w:t>
      </w:r>
      <w:proofErr w:type="gramStart"/>
      <w:r w:rsidRPr="00D11390">
        <w:rPr>
          <w:rFonts w:ascii="Times New Roman" w:hAnsi="Times New Roman"/>
          <w:b/>
          <w:bCs/>
          <w:color w:val="000000" w:themeColor="text1"/>
        </w:rPr>
        <w:t>Into</w:t>
      </w:r>
      <w:proofErr w:type="gramEnd"/>
      <w:r w:rsidRPr="00D11390">
        <w:rPr>
          <w:rFonts w:ascii="Times New Roman" w:hAnsi="Times New Roman"/>
          <w:b/>
          <w:bCs/>
          <w:color w:val="000000" w:themeColor="text1"/>
        </w:rPr>
        <w:t xml:space="preserve"> Proposed Transaction</w:t>
      </w:r>
      <w:r w:rsidRPr="00D11390">
        <w:rPr>
          <w:rFonts w:ascii="Times New Roman" w:hAnsi="Times New Roman"/>
          <w:color w:val="000000" w:themeColor="text1"/>
        </w:rPr>
        <w:t xml:space="preserve">. This Term Sheet is intended to provide an overview of the Proposed Transaction and is not intended to constitute a binding contract or an offer to </w:t>
      </w:r>
      <w:proofErr w:type="gramStart"/>
      <w:r w:rsidRPr="00D11390">
        <w:rPr>
          <w:rFonts w:ascii="Times New Roman" w:hAnsi="Times New Roman"/>
          <w:color w:val="000000" w:themeColor="text1"/>
        </w:rPr>
        <w:t>enter into</w:t>
      </w:r>
      <w:proofErr w:type="gramEnd"/>
      <w:r w:rsidRPr="00D11390">
        <w:rPr>
          <w:rFonts w:ascii="Times New Roman" w:hAnsi="Times New Roman"/>
          <w:color w:val="000000" w:themeColor="text1"/>
        </w:rPr>
        <w:t xml:space="preserve"> a</w:t>
      </w:r>
      <w:r w:rsidR="001E3399" w:rsidRPr="00D11390">
        <w:rPr>
          <w:rFonts w:ascii="Times New Roman" w:hAnsi="Times New Roman"/>
          <w:color w:val="000000" w:themeColor="text1"/>
        </w:rPr>
        <w:t xml:space="preserve"> </w:t>
      </w:r>
      <w:r w:rsidR="003971A2" w:rsidRPr="00D11390">
        <w:rPr>
          <w:rFonts w:ascii="Times New Roman" w:hAnsi="Times New Roman"/>
          <w:color w:val="000000" w:themeColor="text1"/>
        </w:rPr>
        <w:t xml:space="preserve">PPA </w:t>
      </w:r>
      <w:r w:rsidRPr="00D11390">
        <w:rPr>
          <w:rFonts w:ascii="Times New Roman" w:hAnsi="Times New Roman"/>
          <w:color w:val="000000" w:themeColor="text1"/>
        </w:rPr>
        <w:t xml:space="preserve">with respect to the Proposed Transaction and does not obligate </w:t>
      </w:r>
      <w:r w:rsidR="000D4C0D" w:rsidRPr="00D11390">
        <w:rPr>
          <w:rFonts w:ascii="Times New Roman" w:hAnsi="Times New Roman"/>
          <w:color w:val="000000" w:themeColor="text1"/>
        </w:rPr>
        <w:t>any</w:t>
      </w:r>
      <w:r w:rsidRPr="00D11390">
        <w:rPr>
          <w:rFonts w:ascii="Times New Roman" w:hAnsi="Times New Roman"/>
          <w:color w:val="000000" w:themeColor="text1"/>
        </w:rPr>
        <w:t xml:space="preserve"> Party to enter into the Proposed Transaction or execute any agreement, including the </w:t>
      </w:r>
      <w:r w:rsidR="003971A2" w:rsidRPr="00D11390">
        <w:rPr>
          <w:rFonts w:ascii="Times New Roman" w:hAnsi="Times New Roman"/>
          <w:color w:val="000000" w:themeColor="text1"/>
        </w:rPr>
        <w:t>PPA</w:t>
      </w:r>
      <w:r w:rsidRPr="00D11390">
        <w:rPr>
          <w:rFonts w:ascii="Times New Roman" w:hAnsi="Times New Roman"/>
          <w:color w:val="000000" w:themeColor="text1"/>
        </w:rPr>
        <w:t xml:space="preserve">, in connection with the Proposed Transaction. </w:t>
      </w:r>
      <w:r w:rsidR="00C82E50" w:rsidRPr="00D11390">
        <w:rPr>
          <w:rFonts w:ascii="Times New Roman" w:hAnsi="Times New Roman"/>
          <w:color w:val="000000" w:themeColor="text1"/>
        </w:rPr>
        <w:t xml:space="preserve">Neither Buyer nor Seller will be deemed to have agreed to the </w:t>
      </w:r>
      <w:r w:rsidR="00D11390" w:rsidRPr="00D11390">
        <w:rPr>
          <w:rFonts w:ascii="Times New Roman" w:hAnsi="Times New Roman"/>
          <w:color w:val="000000" w:themeColor="text1"/>
        </w:rPr>
        <w:t>PPA</w:t>
      </w:r>
      <w:r w:rsidR="00C82E50" w:rsidRPr="00D11390">
        <w:rPr>
          <w:rFonts w:ascii="Times New Roman" w:hAnsi="Times New Roman"/>
          <w:color w:val="000000" w:themeColor="text1"/>
        </w:rPr>
        <w:t xml:space="preserve"> and will not be bound by any term thereof, unless and until authorized representatives of both Buyer and Seller execute final definitive documents, enforceable in accordance with their terms</w:t>
      </w:r>
      <w:r w:rsidRPr="00D11390">
        <w:rPr>
          <w:rFonts w:ascii="Times New Roman" w:hAnsi="Times New Roman"/>
          <w:color w:val="000000" w:themeColor="text1"/>
        </w:rPr>
        <w:t>.</w:t>
      </w:r>
    </w:p>
    <w:p w14:paraId="31DAB456" w14:textId="77777777" w:rsidR="00D11390" w:rsidRPr="00B875D1" w:rsidRDefault="00D11390" w:rsidP="001773D0">
      <w:pPr>
        <w:pStyle w:val="ListParagraph"/>
        <w:autoSpaceDE w:val="0"/>
        <w:autoSpaceDN w:val="0"/>
        <w:adjustRightInd w:val="0"/>
        <w:ind w:left="360"/>
        <w:jc w:val="both"/>
        <w:rPr>
          <w:rFonts w:ascii="Times New Roman" w:hAnsi="Times New Roman"/>
          <w:color w:val="000000" w:themeColor="text1"/>
        </w:rPr>
      </w:pPr>
    </w:p>
    <w:p w14:paraId="45894467" w14:textId="6B4D3BF1" w:rsidR="006F54A7" w:rsidRPr="0065395F" w:rsidRDefault="006F54A7" w:rsidP="001773D0">
      <w:pPr>
        <w:pStyle w:val="ListParagraph"/>
        <w:numPr>
          <w:ilvl w:val="0"/>
          <w:numId w:val="16"/>
        </w:numPr>
        <w:autoSpaceDE w:val="0"/>
        <w:autoSpaceDN w:val="0"/>
        <w:adjustRightInd w:val="0"/>
        <w:ind w:left="0" w:firstLine="720"/>
        <w:jc w:val="both"/>
      </w:pPr>
      <w:r w:rsidRPr="00D11390">
        <w:rPr>
          <w:rFonts w:ascii="Times New Roman" w:hAnsi="Times New Roman" w:cs="Times New Roman"/>
          <w:b/>
        </w:rPr>
        <w:t>Other Agreements</w:t>
      </w:r>
      <w:r w:rsidRPr="0065395F">
        <w:t xml:space="preserve">. </w:t>
      </w:r>
      <w:r w:rsidRPr="00D11390">
        <w:rPr>
          <w:rFonts w:ascii="Times New Roman" w:hAnsi="Times New Roman" w:cs="Times New Roman"/>
        </w:rPr>
        <w:t xml:space="preserve">In connection with this Term Sheet, </w:t>
      </w:r>
      <w:r w:rsidR="0047310A" w:rsidRPr="00D11390">
        <w:rPr>
          <w:rFonts w:ascii="Times New Roman" w:hAnsi="Times New Roman" w:cs="Times New Roman"/>
        </w:rPr>
        <w:t>Respondent</w:t>
      </w:r>
      <w:r w:rsidRPr="00D11390">
        <w:rPr>
          <w:rFonts w:ascii="Times New Roman" w:hAnsi="Times New Roman" w:cs="Times New Roman"/>
        </w:rPr>
        <w:t xml:space="preserve"> shall execute that certain </w:t>
      </w:r>
      <w:r w:rsidR="007C4202" w:rsidRPr="00D11390">
        <w:rPr>
          <w:rFonts w:ascii="Times New Roman" w:hAnsi="Times New Roman" w:cs="Times New Roman"/>
        </w:rPr>
        <w:t xml:space="preserve">Exclusive Negotiating Agreement </w:t>
      </w:r>
      <w:r w:rsidRPr="00D11390">
        <w:rPr>
          <w:rFonts w:ascii="Times New Roman" w:hAnsi="Times New Roman" w:cs="Times New Roman"/>
        </w:rPr>
        <w:t>(“</w:t>
      </w:r>
      <w:r w:rsidRPr="00D11390">
        <w:rPr>
          <w:rFonts w:ascii="Times New Roman" w:hAnsi="Times New Roman" w:cs="Times New Roman"/>
          <w:b/>
          <w:u w:val="single"/>
        </w:rPr>
        <w:t>Exclusivity Agreement</w:t>
      </w:r>
      <w:r w:rsidRPr="00D11390">
        <w:rPr>
          <w:rFonts w:ascii="Times New Roman" w:hAnsi="Times New Roman" w:cs="Times New Roman"/>
        </w:rPr>
        <w:t xml:space="preserve">”) with </w:t>
      </w:r>
      <w:r w:rsidR="00BC3799" w:rsidRPr="00D11390">
        <w:rPr>
          <w:rFonts w:ascii="Times New Roman" w:hAnsi="Times New Roman" w:cs="Times New Roman"/>
        </w:rPr>
        <w:t xml:space="preserve">Buyer </w:t>
      </w:r>
      <w:r w:rsidR="00275C71" w:rsidRPr="00D11390">
        <w:rPr>
          <w:rFonts w:ascii="Times New Roman" w:hAnsi="Times New Roman" w:cs="Times New Roman"/>
        </w:rPr>
        <w:t xml:space="preserve">and </w:t>
      </w:r>
      <w:r w:rsidRPr="00D11390">
        <w:rPr>
          <w:rFonts w:ascii="Times New Roman" w:hAnsi="Times New Roman" w:cs="Times New Roman"/>
        </w:rPr>
        <w:t xml:space="preserve">provide a Shortlist Deposit (as defined in such agreement) of </w:t>
      </w:r>
      <w:r w:rsidRPr="001773D0">
        <w:rPr>
          <w:rFonts w:ascii="Times New Roman" w:hAnsi="Times New Roman" w:cs="Times New Roman"/>
        </w:rPr>
        <w:t>$</w:t>
      </w:r>
      <w:r w:rsidR="00F4105C" w:rsidRPr="001773D0">
        <w:rPr>
          <w:rFonts w:ascii="Times New Roman" w:hAnsi="Times New Roman" w:cs="Times New Roman"/>
        </w:rPr>
        <w:t>4</w:t>
      </w:r>
      <w:r w:rsidRPr="001773D0">
        <w:rPr>
          <w:rFonts w:ascii="Times New Roman" w:hAnsi="Times New Roman" w:cs="Times New Roman"/>
        </w:rPr>
        <w:t>.00/kW</w:t>
      </w:r>
      <w:r w:rsidRPr="00D11390">
        <w:rPr>
          <w:rFonts w:ascii="Times New Roman" w:hAnsi="Times New Roman" w:cs="Times New Roman"/>
        </w:rPr>
        <w:t xml:space="preserve"> </w:t>
      </w:r>
      <w:r w:rsidR="00275C71" w:rsidRPr="00D11390">
        <w:rPr>
          <w:rFonts w:ascii="Times New Roman" w:hAnsi="Times New Roman" w:cs="Times New Roman"/>
        </w:rPr>
        <w:t>to B</w:t>
      </w:r>
      <w:r w:rsidR="00ED5E3A" w:rsidRPr="00D11390">
        <w:rPr>
          <w:rFonts w:ascii="Times New Roman" w:hAnsi="Times New Roman" w:cs="Times New Roman"/>
        </w:rPr>
        <w:t>uyer</w:t>
      </w:r>
      <w:r w:rsidR="00275C71" w:rsidRPr="00D11390">
        <w:rPr>
          <w:rFonts w:ascii="Times New Roman" w:hAnsi="Times New Roman" w:cs="Times New Roman"/>
        </w:rPr>
        <w:t>(s)</w:t>
      </w:r>
      <w:r w:rsidR="00ED5E3A" w:rsidRPr="00D11390" w:rsidDel="00ED5E3A">
        <w:rPr>
          <w:rFonts w:ascii="Times New Roman" w:hAnsi="Times New Roman" w:cs="Times New Roman"/>
        </w:rPr>
        <w:t xml:space="preserve"> </w:t>
      </w:r>
      <w:r w:rsidRPr="00D11390">
        <w:rPr>
          <w:rFonts w:ascii="Times New Roman" w:hAnsi="Times New Roman" w:cs="Times New Roman"/>
        </w:rPr>
        <w:t>within three (3) Business Days after execution of the Exclusivity Agreement. The Shortlist Deposit will be returned in accordance with, and subject to, the terms of the Exclusivity Agreement.</w:t>
      </w:r>
    </w:p>
    <w:p w14:paraId="3E11FB9C" w14:textId="77777777" w:rsidR="006F54A7" w:rsidRPr="0065395F" w:rsidRDefault="006F54A7" w:rsidP="0065395F">
      <w:pPr>
        <w:spacing w:after="0" w:line="240" w:lineRule="auto"/>
        <w:jc w:val="both"/>
        <w:rPr>
          <w:rFonts w:ascii="Times New Roman" w:hAnsi="Times New Roman"/>
          <w:color w:val="000000" w:themeColor="text1"/>
        </w:rPr>
      </w:pPr>
    </w:p>
    <w:p w14:paraId="52EE617E" w14:textId="77777777" w:rsidR="006F54A7" w:rsidRPr="0065395F" w:rsidRDefault="006F54A7" w:rsidP="001773D0">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65395F">
        <w:rPr>
          <w:rFonts w:ascii="Times New Roman" w:hAnsi="Times New Roman"/>
          <w:b/>
          <w:bCs/>
          <w:color w:val="000000" w:themeColor="text1"/>
        </w:rPr>
        <w:t>Expenses</w:t>
      </w:r>
      <w:r w:rsidRPr="0065395F">
        <w:rPr>
          <w:rFonts w:ascii="Times New Roman" w:hAnsi="Times New Roman"/>
          <w:color w:val="000000" w:themeColor="text1"/>
        </w:rPr>
        <w:t xml:space="preserve">. Each Party will pay its own costs and expenses (whether internal or out-of-pocket, and whether for legal, financial, </w:t>
      </w:r>
      <w:proofErr w:type="gramStart"/>
      <w:r w:rsidRPr="0065395F">
        <w:rPr>
          <w:rFonts w:ascii="Times New Roman" w:hAnsi="Times New Roman"/>
          <w:color w:val="000000" w:themeColor="text1"/>
        </w:rPr>
        <w:t>technical</w:t>
      </w:r>
      <w:proofErr w:type="gramEnd"/>
      <w:r w:rsidRPr="0065395F">
        <w:rPr>
          <w:rFonts w:ascii="Times New Roman" w:hAnsi="Times New Roman"/>
          <w:color w:val="000000" w:themeColor="text1"/>
        </w:rPr>
        <w:t xml:space="preserve"> or other consultants, or other purposes) in connection with the Term Sheet and any definitive agreements.</w:t>
      </w:r>
    </w:p>
    <w:p w14:paraId="1E1F061A" w14:textId="77777777" w:rsidR="006F54A7" w:rsidRPr="0065395F" w:rsidRDefault="006F54A7" w:rsidP="0065395F">
      <w:pPr>
        <w:autoSpaceDE w:val="0"/>
        <w:autoSpaceDN w:val="0"/>
        <w:adjustRightInd w:val="0"/>
        <w:spacing w:after="0" w:line="240" w:lineRule="auto"/>
        <w:jc w:val="both"/>
        <w:rPr>
          <w:rFonts w:ascii="Times New Roman" w:hAnsi="Times New Roman"/>
          <w:color w:val="000000" w:themeColor="text1"/>
        </w:rPr>
      </w:pPr>
    </w:p>
    <w:p w14:paraId="2739D96E" w14:textId="74C51172" w:rsidR="006F54A7" w:rsidRPr="0065395F" w:rsidRDefault="006F54A7" w:rsidP="001773D0">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65395F">
        <w:rPr>
          <w:rFonts w:ascii="Times New Roman" w:hAnsi="Times New Roman"/>
          <w:b/>
          <w:bCs/>
          <w:color w:val="000000" w:themeColor="text1"/>
        </w:rPr>
        <w:t>Termination</w:t>
      </w:r>
      <w:r w:rsidRPr="0065395F">
        <w:rPr>
          <w:rFonts w:ascii="Times New Roman" w:hAnsi="Times New Roman"/>
          <w:color w:val="000000" w:themeColor="text1"/>
        </w:rPr>
        <w:t xml:space="preserve">. This Term Sheet will terminate upon the earlier of (a) execution of the </w:t>
      </w:r>
      <w:r w:rsidR="007C4202" w:rsidRPr="0065395F">
        <w:rPr>
          <w:rFonts w:ascii="Times New Roman" w:hAnsi="Times New Roman"/>
          <w:color w:val="000000" w:themeColor="text1"/>
        </w:rPr>
        <w:t>PPA</w:t>
      </w:r>
      <w:r w:rsidRPr="0065395F">
        <w:rPr>
          <w:rFonts w:ascii="Times New Roman" w:hAnsi="Times New Roman"/>
          <w:color w:val="000000" w:themeColor="text1"/>
        </w:rPr>
        <w:t xml:space="preserve"> or (b) expiration of the Exclusivity Deadline (as defined in the </w:t>
      </w:r>
      <w:r w:rsidR="00025175" w:rsidRPr="0065395F">
        <w:rPr>
          <w:rFonts w:ascii="Times New Roman" w:hAnsi="Times New Roman"/>
          <w:color w:val="000000" w:themeColor="text1"/>
        </w:rPr>
        <w:t>Exclusivity Agreement</w:t>
      </w:r>
      <w:r w:rsidRPr="0065395F">
        <w:rPr>
          <w:rFonts w:ascii="Times New Roman" w:hAnsi="Times New Roman"/>
          <w:color w:val="000000" w:themeColor="text1"/>
        </w:rPr>
        <w:t xml:space="preserve">), as such Exclusivity Deadline may be extended pursuant to the </w:t>
      </w:r>
      <w:r w:rsidR="00025175" w:rsidRPr="0065395F">
        <w:rPr>
          <w:rFonts w:ascii="Times New Roman" w:hAnsi="Times New Roman"/>
          <w:color w:val="000000" w:themeColor="text1"/>
        </w:rPr>
        <w:t>Exclusivity Agreement</w:t>
      </w:r>
      <w:r w:rsidRPr="0065395F">
        <w:rPr>
          <w:rFonts w:ascii="Times New Roman" w:hAnsi="Times New Roman"/>
          <w:color w:val="000000" w:themeColor="text1"/>
        </w:rPr>
        <w:t>.</w:t>
      </w:r>
    </w:p>
    <w:p w14:paraId="71571D76" w14:textId="77777777" w:rsidR="006F54A7" w:rsidRPr="0065395F" w:rsidRDefault="006F54A7" w:rsidP="0065395F">
      <w:pPr>
        <w:autoSpaceDE w:val="0"/>
        <w:autoSpaceDN w:val="0"/>
        <w:adjustRightInd w:val="0"/>
        <w:spacing w:after="0" w:line="240" w:lineRule="auto"/>
        <w:jc w:val="both"/>
        <w:rPr>
          <w:rFonts w:ascii="Times New Roman" w:hAnsi="Times New Roman"/>
          <w:color w:val="000000" w:themeColor="text1"/>
        </w:rPr>
      </w:pPr>
    </w:p>
    <w:p w14:paraId="3612232A" w14:textId="77777777" w:rsidR="006F54A7" w:rsidRPr="0065395F" w:rsidRDefault="006F54A7" w:rsidP="001773D0">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65395F">
        <w:rPr>
          <w:rFonts w:ascii="Times New Roman" w:hAnsi="Times New Roman"/>
          <w:b/>
          <w:bCs/>
          <w:color w:val="000000" w:themeColor="text1"/>
        </w:rPr>
        <w:t>Governing Law</w:t>
      </w:r>
      <w:r w:rsidRPr="0065395F">
        <w:rPr>
          <w:rFonts w:ascii="Times New Roman" w:hAnsi="Times New Roman"/>
          <w:color w:val="000000" w:themeColor="text1"/>
        </w:rPr>
        <w:t>. This Term Sheet is governed by, and construed in accordance with, the laws of the State of California.</w:t>
      </w:r>
    </w:p>
    <w:p w14:paraId="70DBE04A" w14:textId="77777777" w:rsidR="006F54A7" w:rsidRPr="0065395F" w:rsidRDefault="006F54A7" w:rsidP="0065395F">
      <w:pPr>
        <w:autoSpaceDE w:val="0"/>
        <w:autoSpaceDN w:val="0"/>
        <w:adjustRightInd w:val="0"/>
        <w:spacing w:after="0" w:line="240" w:lineRule="auto"/>
        <w:jc w:val="both"/>
        <w:rPr>
          <w:rFonts w:ascii="Times New Roman" w:hAnsi="Times New Roman"/>
          <w:color w:val="000000" w:themeColor="text1"/>
        </w:rPr>
      </w:pPr>
    </w:p>
    <w:p w14:paraId="3E387583" w14:textId="77777777" w:rsidR="006F54A7" w:rsidRPr="0065395F" w:rsidRDefault="006F54A7" w:rsidP="001773D0">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65395F">
        <w:rPr>
          <w:rFonts w:ascii="Times New Roman" w:hAnsi="Times New Roman"/>
          <w:b/>
          <w:bCs/>
          <w:color w:val="000000" w:themeColor="text1"/>
        </w:rPr>
        <w:t>Counterparts and Electronic Signatures</w:t>
      </w:r>
      <w:r w:rsidRPr="0065395F">
        <w:rPr>
          <w:rFonts w:ascii="Times New Roman" w:hAnsi="Times New Roman"/>
          <w:color w:val="000000" w:themeColor="text1"/>
        </w:rPr>
        <w:t xml:space="preserve">. This Term Sheet may be executed electronically and in counterparts, each of which will be enforceable against the Parties </w:t>
      </w:r>
      <w:proofErr w:type="gramStart"/>
      <w:r w:rsidRPr="0065395F">
        <w:rPr>
          <w:rFonts w:ascii="Times New Roman" w:hAnsi="Times New Roman"/>
          <w:color w:val="000000" w:themeColor="text1"/>
        </w:rPr>
        <w:t>actually executing</w:t>
      </w:r>
      <w:proofErr w:type="gramEnd"/>
      <w:r w:rsidRPr="0065395F">
        <w:rPr>
          <w:rFonts w:ascii="Times New Roman" w:hAnsi="Times New Roman"/>
          <w:color w:val="000000" w:themeColor="text1"/>
        </w:rPr>
        <w:t xml:space="preserve"> such counterparts, and all of which together will constitute one instrument. The Parties may rely on electronic or scanned signatures as originals. Delivery of an executed signature page of this Term Sheet by electronic transmission (including email transmission of a PDF image) shall be the same as delivery of an original executed signature page.</w:t>
      </w:r>
    </w:p>
    <w:p w14:paraId="1700FB88" w14:textId="77777777" w:rsidR="006F54A7" w:rsidRPr="0065395F" w:rsidRDefault="006F54A7" w:rsidP="0065395F">
      <w:pPr>
        <w:autoSpaceDE w:val="0"/>
        <w:autoSpaceDN w:val="0"/>
        <w:adjustRightInd w:val="0"/>
        <w:spacing w:after="0" w:line="240" w:lineRule="auto"/>
        <w:jc w:val="both"/>
        <w:rPr>
          <w:rFonts w:ascii="Times New Roman" w:hAnsi="Times New Roman"/>
          <w:color w:val="000000" w:themeColor="text1"/>
        </w:rPr>
      </w:pPr>
    </w:p>
    <w:p w14:paraId="1BBE5B30" w14:textId="77777777" w:rsidR="006F54A7" w:rsidRPr="0065395F" w:rsidRDefault="006F54A7" w:rsidP="001773D0">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65395F">
        <w:rPr>
          <w:rFonts w:ascii="Times New Roman" w:hAnsi="Times New Roman"/>
          <w:b/>
          <w:bCs/>
          <w:color w:val="000000" w:themeColor="text1"/>
        </w:rPr>
        <w:t>Prior Agreements</w:t>
      </w:r>
      <w:r w:rsidRPr="0065395F">
        <w:rPr>
          <w:rFonts w:ascii="Times New Roman" w:hAnsi="Times New Roman"/>
          <w:color w:val="000000" w:themeColor="text1"/>
        </w:rPr>
        <w:t>. This Term Sheet supersedes all prior communications and agreements, oral or written, between the Parties regarding the subject matter herein contemplated.</w:t>
      </w:r>
    </w:p>
    <w:p w14:paraId="70BCFE8D" w14:textId="77777777" w:rsidR="006F54A7" w:rsidRPr="0065395F" w:rsidRDefault="006F54A7" w:rsidP="0065395F">
      <w:pPr>
        <w:autoSpaceDE w:val="0"/>
        <w:autoSpaceDN w:val="0"/>
        <w:adjustRightInd w:val="0"/>
        <w:spacing w:after="0" w:line="240" w:lineRule="auto"/>
        <w:jc w:val="both"/>
        <w:rPr>
          <w:rFonts w:ascii="Times New Roman" w:hAnsi="Times New Roman"/>
          <w:color w:val="000000" w:themeColor="text1"/>
        </w:rPr>
      </w:pPr>
    </w:p>
    <w:p w14:paraId="1D7E5751" w14:textId="48D4CD6C" w:rsidR="006F54A7" w:rsidRPr="0065395F" w:rsidRDefault="006F54A7" w:rsidP="001773D0">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65395F">
        <w:rPr>
          <w:rFonts w:ascii="Times New Roman" w:hAnsi="Times New Roman"/>
          <w:b/>
          <w:bCs/>
          <w:color w:val="000000" w:themeColor="text1"/>
        </w:rPr>
        <w:t>Assignment</w:t>
      </w:r>
      <w:r w:rsidRPr="0065395F">
        <w:rPr>
          <w:rFonts w:ascii="Times New Roman" w:hAnsi="Times New Roman"/>
          <w:color w:val="000000" w:themeColor="text1"/>
        </w:rPr>
        <w:t>. This Term Sheet will be binding upon and inure to the benefit of the Parties and their respective successors and permitted assigns. N</w:t>
      </w:r>
      <w:r w:rsidR="00367720">
        <w:rPr>
          <w:rFonts w:ascii="Times New Roman" w:hAnsi="Times New Roman"/>
          <w:color w:val="000000" w:themeColor="text1"/>
        </w:rPr>
        <w:t>either</w:t>
      </w:r>
      <w:r w:rsidR="004707AC" w:rsidRPr="0065395F">
        <w:rPr>
          <w:rFonts w:ascii="Times New Roman" w:hAnsi="Times New Roman"/>
          <w:color w:val="000000" w:themeColor="text1"/>
        </w:rPr>
        <w:t xml:space="preserve"> </w:t>
      </w:r>
      <w:r w:rsidRPr="0065395F">
        <w:rPr>
          <w:rFonts w:ascii="Times New Roman" w:hAnsi="Times New Roman"/>
          <w:color w:val="000000" w:themeColor="text1"/>
        </w:rPr>
        <w:t xml:space="preserve">Party will assign, </w:t>
      </w:r>
      <w:proofErr w:type="gramStart"/>
      <w:r w:rsidRPr="0065395F">
        <w:rPr>
          <w:rFonts w:ascii="Times New Roman" w:hAnsi="Times New Roman"/>
          <w:color w:val="000000" w:themeColor="text1"/>
        </w:rPr>
        <w:t>pledge</w:t>
      </w:r>
      <w:proofErr w:type="gramEnd"/>
      <w:r w:rsidRPr="0065395F">
        <w:rPr>
          <w:rFonts w:ascii="Times New Roman" w:hAnsi="Times New Roman"/>
          <w:color w:val="000000" w:themeColor="text1"/>
        </w:rPr>
        <w:t xml:space="preserve"> or otherwise transfer this Term Sheet or any right or obligation under this Term Sheet without prior written consent</w:t>
      </w:r>
      <w:r w:rsidR="00367720">
        <w:rPr>
          <w:rFonts w:ascii="Times New Roman" w:hAnsi="Times New Roman"/>
          <w:color w:val="000000" w:themeColor="text1"/>
        </w:rPr>
        <w:t xml:space="preserve"> of the other Party</w:t>
      </w:r>
      <w:r w:rsidRPr="0065395F">
        <w:rPr>
          <w:rFonts w:ascii="Times New Roman" w:hAnsi="Times New Roman"/>
          <w:color w:val="000000" w:themeColor="text1"/>
        </w:rPr>
        <w:t>.</w:t>
      </w:r>
    </w:p>
    <w:p w14:paraId="05FD16C4" w14:textId="77777777" w:rsidR="006F54A7" w:rsidRPr="0065395F" w:rsidRDefault="006F54A7" w:rsidP="0065395F">
      <w:pPr>
        <w:autoSpaceDE w:val="0"/>
        <w:autoSpaceDN w:val="0"/>
        <w:adjustRightInd w:val="0"/>
        <w:spacing w:after="0" w:line="240" w:lineRule="auto"/>
        <w:jc w:val="both"/>
        <w:rPr>
          <w:rFonts w:ascii="Times New Roman" w:hAnsi="Times New Roman"/>
          <w:color w:val="000000" w:themeColor="text1"/>
        </w:rPr>
      </w:pPr>
    </w:p>
    <w:p w14:paraId="12E88E14" w14:textId="295E9FD4" w:rsidR="006F54A7" w:rsidRPr="0065395F" w:rsidRDefault="006F54A7" w:rsidP="001773D0">
      <w:pPr>
        <w:pStyle w:val="ListParagraph"/>
        <w:numPr>
          <w:ilvl w:val="0"/>
          <w:numId w:val="16"/>
        </w:numPr>
        <w:autoSpaceDE w:val="0"/>
        <w:autoSpaceDN w:val="0"/>
        <w:adjustRightInd w:val="0"/>
        <w:ind w:left="0" w:firstLine="720"/>
        <w:jc w:val="both"/>
        <w:rPr>
          <w:rFonts w:ascii="Times New Roman" w:hAnsi="Times New Roman"/>
          <w:color w:val="000000" w:themeColor="text1"/>
        </w:rPr>
      </w:pPr>
      <w:r w:rsidRPr="0065395F">
        <w:rPr>
          <w:rFonts w:ascii="Times New Roman" w:hAnsi="Times New Roman"/>
          <w:b/>
          <w:bCs/>
          <w:color w:val="000000" w:themeColor="text1"/>
        </w:rPr>
        <w:t>No Consequential Damages</w:t>
      </w:r>
      <w:r w:rsidRPr="0065395F">
        <w:rPr>
          <w:rFonts w:ascii="Times New Roman" w:hAnsi="Times New Roman"/>
          <w:color w:val="000000" w:themeColor="text1"/>
        </w:rPr>
        <w:t xml:space="preserve">. </w:t>
      </w:r>
      <w:r w:rsidR="00367720">
        <w:rPr>
          <w:rFonts w:ascii="Times New Roman" w:hAnsi="Times New Roman"/>
          <w:color w:val="000000" w:themeColor="text1"/>
        </w:rPr>
        <w:t>NEITHER PARTY SHALL</w:t>
      </w:r>
      <w:r w:rsidRPr="0065395F">
        <w:rPr>
          <w:rFonts w:ascii="Times New Roman" w:hAnsi="Times New Roman"/>
          <w:color w:val="000000" w:themeColor="text1"/>
        </w:rPr>
        <w:t xml:space="preserve"> BE LIABLE </w:t>
      </w:r>
      <w:r w:rsidR="00367720">
        <w:rPr>
          <w:rFonts w:ascii="Times New Roman" w:hAnsi="Times New Roman"/>
          <w:color w:val="000000" w:themeColor="text1"/>
        </w:rPr>
        <w:t xml:space="preserve">TO THE OTHER </w:t>
      </w:r>
      <w:r w:rsidRPr="0065395F">
        <w:rPr>
          <w:rFonts w:ascii="Times New Roman" w:hAnsi="Times New Roman"/>
          <w:color w:val="000000" w:themeColor="text1"/>
        </w:rPr>
        <w:t>FOR ANY LOST OR PROSPECTIVE PROFITS OR ANY OTHER CONSEQUENTIAL, INCIDENTAL, SPECIAL, PUNITIVE, INDIRECT OR EXEMPLARY DAMAGES UNDER OR IN RESPECT TO THIS TERM SHEET.</w:t>
      </w:r>
    </w:p>
    <w:p w14:paraId="7E9F4BF6" w14:textId="0488CB27" w:rsidR="00360E06" w:rsidRDefault="00360E06" w:rsidP="0065395F">
      <w:pPr>
        <w:spacing w:after="0" w:line="240" w:lineRule="auto"/>
        <w:rPr>
          <w:rFonts w:ascii="Times New Roman" w:hAnsi="Times New Roman"/>
          <w:color w:val="000000" w:themeColor="text1"/>
        </w:rPr>
      </w:pPr>
      <w:r>
        <w:rPr>
          <w:rFonts w:ascii="Times New Roman" w:hAnsi="Times New Roman"/>
          <w:color w:val="000000" w:themeColor="text1"/>
        </w:rPr>
        <w:br w:type="page"/>
      </w:r>
    </w:p>
    <w:p w14:paraId="0EE644A7" w14:textId="77777777" w:rsidR="006F54A7" w:rsidRPr="0065395F" w:rsidRDefault="006F54A7" w:rsidP="0065395F">
      <w:pPr>
        <w:spacing w:after="0" w:line="240" w:lineRule="auto"/>
        <w:rPr>
          <w:rFonts w:ascii="Times New Roman" w:hAnsi="Times New Roman"/>
          <w:color w:val="000000" w:themeColor="text1"/>
        </w:rPr>
      </w:pPr>
    </w:p>
    <w:p w14:paraId="40320D22" w14:textId="77777777" w:rsidR="006F54A7" w:rsidRPr="0065395F" w:rsidRDefault="006F54A7" w:rsidP="0065395F">
      <w:pPr>
        <w:spacing w:after="0" w:line="240" w:lineRule="auto"/>
        <w:rPr>
          <w:rFonts w:ascii="Times New Roman" w:hAnsi="Times New Roman"/>
          <w:color w:val="000000" w:themeColor="text1"/>
        </w:rPr>
      </w:pPr>
      <w:r w:rsidRPr="0065395F">
        <w:rPr>
          <w:rFonts w:ascii="Times New Roman" w:hAnsi="Times New Roman"/>
          <w:color w:val="000000" w:themeColor="text1"/>
        </w:rPr>
        <w:t>IN WITNESS WHEREOF, the Parties have signed this Term Sheet effective as of the Effective Date.</w:t>
      </w:r>
    </w:p>
    <w:p w14:paraId="5B2EB96D" w14:textId="77777777" w:rsidR="006F54A7" w:rsidRPr="0065395F" w:rsidRDefault="006F54A7" w:rsidP="0065395F">
      <w:pPr>
        <w:spacing w:line="240"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54A7" w:rsidRPr="0065395F" w14:paraId="54580D3F" w14:textId="77777777" w:rsidTr="00140C91">
        <w:trPr>
          <w:trHeight w:val="2438"/>
        </w:trPr>
        <w:tc>
          <w:tcPr>
            <w:tcW w:w="4675" w:type="dxa"/>
          </w:tcPr>
          <w:p w14:paraId="73A105A2" w14:textId="2E264E9A" w:rsidR="006F54A7" w:rsidRDefault="00360E06" w:rsidP="001957FF">
            <w:pPr>
              <w:tabs>
                <w:tab w:val="left" w:pos="-720"/>
              </w:tabs>
              <w:suppressAutoHyphens/>
              <w:spacing w:line="240" w:lineRule="auto"/>
              <w:ind w:left="-19" w:right="78"/>
              <w:rPr>
                <w:rFonts w:ascii="Times New Roman" w:hAnsi="Times New Roman"/>
                <w:b/>
              </w:rPr>
            </w:pPr>
            <w:r>
              <w:rPr>
                <w:rFonts w:ascii="Times New Roman" w:hAnsi="Times New Roman"/>
                <w:b/>
              </w:rPr>
              <w:t>SAN DIEGO COMMUNITY POWER</w:t>
            </w:r>
            <w:r w:rsidR="000441E7">
              <w:rPr>
                <w:rFonts w:ascii="Times New Roman" w:hAnsi="Times New Roman"/>
                <w:b/>
              </w:rPr>
              <w:t>,</w:t>
            </w:r>
            <w:r w:rsidR="005B26E0">
              <w:rPr>
                <w:rFonts w:ascii="Times New Roman" w:hAnsi="Times New Roman"/>
                <w:b/>
              </w:rPr>
              <w:t xml:space="preserve"> a California joint powers authority</w:t>
            </w:r>
          </w:p>
          <w:p w14:paraId="4AA8C486" w14:textId="77777777" w:rsidR="005B26E0" w:rsidRDefault="005B26E0" w:rsidP="005B26E0">
            <w:pPr>
              <w:pStyle w:val="ConfirmSignatureBold"/>
              <w:tabs>
                <w:tab w:val="left" w:pos="720"/>
                <w:tab w:val="left" w:pos="4050"/>
              </w:tabs>
              <w:jc w:val="both"/>
              <w:rPr>
                <w:rFonts w:ascii="Times New Roman" w:hAnsi="Times New Roman" w:cs="Times New Roman"/>
                <w:b w:val="0"/>
                <w:color w:val="000000" w:themeColor="text1"/>
                <w:sz w:val="22"/>
                <w:szCs w:val="22"/>
              </w:rPr>
            </w:pPr>
          </w:p>
          <w:p w14:paraId="313D5D14" w14:textId="7AB69CC2" w:rsidR="005B26E0" w:rsidRPr="0065395F" w:rsidRDefault="005B26E0" w:rsidP="005B26E0">
            <w:pPr>
              <w:pStyle w:val="ConfirmSignatureBold"/>
              <w:tabs>
                <w:tab w:val="left" w:pos="720"/>
                <w:tab w:val="left" w:pos="4050"/>
              </w:tabs>
              <w:spacing w:after="240"/>
              <w:jc w:val="both"/>
              <w:rPr>
                <w:rFonts w:ascii="Times New Roman" w:hAnsi="Times New Roman" w:cs="Times New Roman"/>
                <w:b w:val="0"/>
                <w:color w:val="000000" w:themeColor="text1"/>
                <w:sz w:val="22"/>
                <w:szCs w:val="22"/>
              </w:rPr>
            </w:pPr>
            <w:r w:rsidRPr="0065395F">
              <w:rPr>
                <w:rFonts w:ascii="Times New Roman" w:hAnsi="Times New Roman" w:cs="Times New Roman"/>
                <w:b w:val="0"/>
                <w:color w:val="000000" w:themeColor="text1"/>
                <w:sz w:val="22"/>
                <w:szCs w:val="22"/>
              </w:rPr>
              <w:t>By:</w:t>
            </w:r>
            <w:r w:rsidRPr="0065395F">
              <w:rPr>
                <w:rFonts w:ascii="Times New Roman" w:hAnsi="Times New Roman" w:cs="Times New Roman"/>
                <w:b w:val="0"/>
                <w:color w:val="000000" w:themeColor="text1"/>
                <w:sz w:val="22"/>
                <w:szCs w:val="22"/>
                <w:u w:val="single"/>
              </w:rPr>
              <w:tab/>
              <w:t xml:space="preserve">   </w:t>
            </w:r>
            <w:r w:rsidRPr="0065395F">
              <w:rPr>
                <w:rFonts w:ascii="Times New Roman" w:hAnsi="Times New Roman" w:cs="Times New Roman"/>
                <w:b w:val="0"/>
                <w:color w:val="000000" w:themeColor="text1"/>
                <w:sz w:val="22"/>
                <w:szCs w:val="22"/>
                <w:u w:val="single"/>
              </w:rPr>
              <w:tab/>
            </w:r>
          </w:p>
          <w:p w14:paraId="1A2886E9" w14:textId="77777777" w:rsidR="005B26E0" w:rsidRPr="0065395F" w:rsidRDefault="005B26E0" w:rsidP="005B26E0">
            <w:pPr>
              <w:pStyle w:val="ConfirmSignatureBold"/>
              <w:tabs>
                <w:tab w:val="left" w:pos="720"/>
                <w:tab w:val="left" w:pos="4050"/>
              </w:tabs>
              <w:spacing w:after="240"/>
              <w:jc w:val="both"/>
              <w:rPr>
                <w:rFonts w:ascii="Times New Roman" w:hAnsi="Times New Roman" w:cs="Times New Roman"/>
                <w:b w:val="0"/>
                <w:color w:val="000000" w:themeColor="text1"/>
                <w:sz w:val="22"/>
                <w:szCs w:val="22"/>
              </w:rPr>
            </w:pPr>
            <w:r w:rsidRPr="0065395F">
              <w:rPr>
                <w:rFonts w:ascii="Times New Roman" w:hAnsi="Times New Roman" w:cs="Times New Roman"/>
                <w:b w:val="0"/>
                <w:color w:val="000000" w:themeColor="text1"/>
                <w:sz w:val="22"/>
                <w:szCs w:val="22"/>
              </w:rPr>
              <w:t>Printed Name:</w:t>
            </w:r>
            <w:r w:rsidRPr="0065395F">
              <w:rPr>
                <w:rFonts w:ascii="Times New Roman" w:hAnsi="Times New Roman" w:cs="Times New Roman"/>
                <w:b w:val="0"/>
                <w:color w:val="000000" w:themeColor="text1"/>
                <w:sz w:val="22"/>
                <w:szCs w:val="22"/>
                <w:u w:val="single"/>
              </w:rPr>
              <w:tab/>
            </w:r>
          </w:p>
          <w:p w14:paraId="6BDB6215" w14:textId="580E2ECB" w:rsidR="006F54A7" w:rsidRPr="005B26E0" w:rsidRDefault="005B26E0" w:rsidP="005B26E0">
            <w:pPr>
              <w:pStyle w:val="ConfirmSignatureBold"/>
              <w:tabs>
                <w:tab w:val="left" w:pos="4031"/>
              </w:tabs>
              <w:jc w:val="both"/>
              <w:rPr>
                <w:rFonts w:ascii="Times New Roman" w:hAnsi="Times New Roman" w:cs="Times New Roman"/>
                <w:b w:val="0"/>
                <w:color w:val="000000" w:themeColor="text1"/>
                <w:sz w:val="22"/>
                <w:szCs w:val="22"/>
                <w:u w:val="single"/>
              </w:rPr>
            </w:pPr>
            <w:r w:rsidRPr="0065395F">
              <w:rPr>
                <w:rFonts w:ascii="Times New Roman" w:hAnsi="Times New Roman" w:cs="Times New Roman"/>
                <w:b w:val="0"/>
                <w:color w:val="000000" w:themeColor="text1"/>
                <w:sz w:val="22"/>
                <w:szCs w:val="22"/>
              </w:rPr>
              <w:t>Title:</w:t>
            </w:r>
            <w:r w:rsidRPr="0065395F">
              <w:rPr>
                <w:rFonts w:ascii="Times New Roman" w:hAnsi="Times New Roman" w:cs="Times New Roman"/>
                <w:b w:val="0"/>
                <w:color w:val="000000" w:themeColor="text1"/>
                <w:sz w:val="22"/>
                <w:szCs w:val="22"/>
                <w:u w:val="single"/>
              </w:rPr>
              <w:tab/>
            </w:r>
          </w:p>
        </w:tc>
        <w:tc>
          <w:tcPr>
            <w:tcW w:w="4675" w:type="dxa"/>
          </w:tcPr>
          <w:p w14:paraId="5A4EA0CF" w14:textId="643680F4" w:rsidR="006F54A7" w:rsidRPr="0065395F" w:rsidRDefault="006F54A7" w:rsidP="0065395F">
            <w:pPr>
              <w:tabs>
                <w:tab w:val="left" w:pos="-720"/>
              </w:tabs>
              <w:suppressAutoHyphens/>
              <w:spacing w:line="240" w:lineRule="auto"/>
              <w:ind w:right="-360"/>
              <w:jc w:val="both"/>
              <w:rPr>
                <w:rFonts w:ascii="Times New Roman" w:hAnsi="Times New Roman"/>
                <w:b/>
              </w:rPr>
            </w:pPr>
            <w:r w:rsidRPr="0065395F">
              <w:rPr>
                <w:rFonts w:ascii="Times New Roman" w:hAnsi="Times New Roman"/>
                <w:b/>
              </w:rPr>
              <w:t>[</w:t>
            </w:r>
            <w:r w:rsidR="00933B91" w:rsidRPr="00F34AB3">
              <w:rPr>
                <w:rFonts w:ascii="Times New Roman" w:hAnsi="Times New Roman"/>
                <w:b/>
                <w:i/>
                <w:iCs/>
                <w:highlight w:val="lightGray"/>
              </w:rPr>
              <w:t>RESPONDENT</w:t>
            </w:r>
            <w:r w:rsidRPr="0065395F">
              <w:rPr>
                <w:rFonts w:ascii="Times New Roman" w:hAnsi="Times New Roman"/>
              </w:rPr>
              <w:t>]</w:t>
            </w:r>
            <w:r w:rsidRPr="0065395F">
              <w:rPr>
                <w:rFonts w:ascii="Times New Roman" w:hAnsi="Times New Roman"/>
                <w:b/>
              </w:rPr>
              <w:t xml:space="preserve"> </w:t>
            </w:r>
          </w:p>
          <w:p w14:paraId="23A10237" w14:textId="77777777" w:rsidR="006F54A7" w:rsidRDefault="006F54A7" w:rsidP="0065395F">
            <w:pPr>
              <w:spacing w:line="240" w:lineRule="auto"/>
              <w:rPr>
                <w:rFonts w:ascii="Times New Roman" w:hAnsi="Times New Roman"/>
              </w:rPr>
            </w:pPr>
          </w:p>
          <w:p w14:paraId="72DEB8F1" w14:textId="77777777" w:rsidR="00140C91" w:rsidRPr="0065395F" w:rsidRDefault="00140C91" w:rsidP="00140C91">
            <w:pPr>
              <w:pStyle w:val="ConfirmSignatureBold"/>
              <w:tabs>
                <w:tab w:val="left" w:pos="720"/>
                <w:tab w:val="left" w:pos="4050"/>
              </w:tabs>
              <w:spacing w:after="240"/>
              <w:jc w:val="both"/>
              <w:rPr>
                <w:rFonts w:ascii="Times New Roman" w:hAnsi="Times New Roman" w:cs="Times New Roman"/>
                <w:b w:val="0"/>
                <w:color w:val="000000" w:themeColor="text1"/>
                <w:sz w:val="22"/>
                <w:szCs w:val="22"/>
              </w:rPr>
            </w:pPr>
            <w:r w:rsidRPr="0065395F">
              <w:rPr>
                <w:rFonts w:ascii="Times New Roman" w:hAnsi="Times New Roman" w:cs="Times New Roman"/>
                <w:b w:val="0"/>
                <w:color w:val="000000" w:themeColor="text1"/>
                <w:sz w:val="22"/>
                <w:szCs w:val="22"/>
              </w:rPr>
              <w:t>By:</w:t>
            </w:r>
            <w:r w:rsidRPr="0065395F">
              <w:rPr>
                <w:rFonts w:ascii="Times New Roman" w:hAnsi="Times New Roman" w:cs="Times New Roman"/>
                <w:b w:val="0"/>
                <w:color w:val="000000" w:themeColor="text1"/>
                <w:sz w:val="22"/>
                <w:szCs w:val="22"/>
                <w:u w:val="single"/>
              </w:rPr>
              <w:tab/>
              <w:t xml:space="preserve">   </w:t>
            </w:r>
            <w:r w:rsidRPr="0065395F">
              <w:rPr>
                <w:rFonts w:ascii="Times New Roman" w:hAnsi="Times New Roman" w:cs="Times New Roman"/>
                <w:b w:val="0"/>
                <w:color w:val="000000" w:themeColor="text1"/>
                <w:sz w:val="22"/>
                <w:szCs w:val="22"/>
                <w:u w:val="single"/>
              </w:rPr>
              <w:tab/>
            </w:r>
          </w:p>
          <w:p w14:paraId="6569E1E5" w14:textId="77777777" w:rsidR="00140C91" w:rsidRPr="0065395F" w:rsidRDefault="00140C91" w:rsidP="00140C91">
            <w:pPr>
              <w:pStyle w:val="ConfirmSignatureBold"/>
              <w:tabs>
                <w:tab w:val="left" w:pos="720"/>
                <w:tab w:val="left" w:pos="4050"/>
              </w:tabs>
              <w:spacing w:after="240"/>
              <w:jc w:val="both"/>
              <w:rPr>
                <w:rFonts w:ascii="Times New Roman" w:hAnsi="Times New Roman" w:cs="Times New Roman"/>
                <w:b w:val="0"/>
                <w:color w:val="000000" w:themeColor="text1"/>
                <w:sz w:val="22"/>
                <w:szCs w:val="22"/>
              </w:rPr>
            </w:pPr>
            <w:r w:rsidRPr="0065395F">
              <w:rPr>
                <w:rFonts w:ascii="Times New Roman" w:hAnsi="Times New Roman" w:cs="Times New Roman"/>
                <w:b w:val="0"/>
                <w:color w:val="000000" w:themeColor="text1"/>
                <w:sz w:val="22"/>
                <w:szCs w:val="22"/>
              </w:rPr>
              <w:t>Printed Name:</w:t>
            </w:r>
            <w:r w:rsidRPr="0065395F">
              <w:rPr>
                <w:rFonts w:ascii="Times New Roman" w:hAnsi="Times New Roman" w:cs="Times New Roman"/>
                <w:b w:val="0"/>
                <w:color w:val="000000" w:themeColor="text1"/>
                <w:sz w:val="22"/>
                <w:szCs w:val="22"/>
                <w:u w:val="single"/>
              </w:rPr>
              <w:tab/>
            </w:r>
          </w:p>
          <w:p w14:paraId="157C15AB" w14:textId="2A0C0135" w:rsidR="00140C91" w:rsidRPr="0065395F" w:rsidRDefault="00140C91" w:rsidP="00140C91">
            <w:pPr>
              <w:tabs>
                <w:tab w:val="left" w:pos="4030"/>
              </w:tabs>
              <w:spacing w:line="240" w:lineRule="auto"/>
              <w:rPr>
                <w:rFonts w:ascii="Times New Roman" w:hAnsi="Times New Roman"/>
              </w:rPr>
            </w:pPr>
            <w:r w:rsidRPr="0065395F">
              <w:rPr>
                <w:rFonts w:ascii="Times New Roman" w:hAnsi="Times New Roman"/>
                <w:color w:val="000000" w:themeColor="text1"/>
              </w:rPr>
              <w:t>Title:</w:t>
            </w:r>
            <w:r w:rsidRPr="0065395F">
              <w:rPr>
                <w:rFonts w:ascii="Times New Roman" w:hAnsi="Times New Roman"/>
                <w:color w:val="000000" w:themeColor="text1"/>
                <w:u w:val="single"/>
              </w:rPr>
              <w:tab/>
            </w:r>
          </w:p>
        </w:tc>
      </w:tr>
      <w:tr w:rsidR="006F54A7" w:rsidRPr="0065395F" w14:paraId="13A7C834" w14:textId="77777777" w:rsidTr="00140C91">
        <w:tc>
          <w:tcPr>
            <w:tcW w:w="4675" w:type="dxa"/>
          </w:tcPr>
          <w:p w14:paraId="1930B9D9" w14:textId="77777777" w:rsidR="006F54A7" w:rsidRPr="0065395F" w:rsidRDefault="006F54A7" w:rsidP="005B26E0">
            <w:pPr>
              <w:pStyle w:val="ConfirmSignatureBold"/>
              <w:tabs>
                <w:tab w:val="left" w:pos="720"/>
                <w:tab w:val="left" w:pos="4050"/>
              </w:tabs>
              <w:jc w:val="both"/>
              <w:rPr>
                <w:rFonts w:ascii="Times New Roman" w:hAnsi="Times New Roman" w:cs="Times New Roman"/>
                <w:sz w:val="22"/>
                <w:szCs w:val="22"/>
              </w:rPr>
            </w:pPr>
          </w:p>
        </w:tc>
        <w:tc>
          <w:tcPr>
            <w:tcW w:w="4675" w:type="dxa"/>
          </w:tcPr>
          <w:p w14:paraId="27661E5E" w14:textId="77777777" w:rsidR="006F54A7" w:rsidRPr="0065395F" w:rsidRDefault="006F54A7" w:rsidP="00140C91">
            <w:pPr>
              <w:pStyle w:val="ConfirmSignatureBold"/>
              <w:tabs>
                <w:tab w:val="left" w:pos="720"/>
                <w:tab w:val="left" w:pos="4050"/>
              </w:tabs>
              <w:jc w:val="both"/>
              <w:rPr>
                <w:rFonts w:ascii="Times New Roman" w:hAnsi="Times New Roman" w:cs="Times New Roman"/>
                <w:sz w:val="22"/>
                <w:szCs w:val="22"/>
              </w:rPr>
            </w:pPr>
          </w:p>
        </w:tc>
      </w:tr>
      <w:tr w:rsidR="005B26E0" w:rsidRPr="0065395F" w14:paraId="017E9B8B" w14:textId="77777777" w:rsidTr="00140C91">
        <w:tc>
          <w:tcPr>
            <w:tcW w:w="4675" w:type="dxa"/>
          </w:tcPr>
          <w:p w14:paraId="20D36CE9" w14:textId="2832EF0E" w:rsidR="005B26E0" w:rsidRPr="001957FF" w:rsidRDefault="005B26E0" w:rsidP="001957FF">
            <w:pPr>
              <w:pStyle w:val="ConfirmSignatureBold"/>
              <w:tabs>
                <w:tab w:val="left" w:pos="4121"/>
              </w:tabs>
              <w:jc w:val="both"/>
              <w:rPr>
                <w:rFonts w:ascii="Times New Roman" w:hAnsi="Times New Roman" w:cs="Times New Roman"/>
                <w:b w:val="0"/>
                <w:color w:val="000000" w:themeColor="text1"/>
                <w:sz w:val="22"/>
                <w:szCs w:val="22"/>
                <w:u w:val="single"/>
              </w:rPr>
            </w:pPr>
          </w:p>
        </w:tc>
        <w:tc>
          <w:tcPr>
            <w:tcW w:w="4675" w:type="dxa"/>
          </w:tcPr>
          <w:p w14:paraId="6A05F46B" w14:textId="77777777" w:rsidR="005B26E0" w:rsidRPr="0065395F" w:rsidRDefault="005B26E0" w:rsidP="0065395F">
            <w:pPr>
              <w:pStyle w:val="ConfirmSignatureBold"/>
              <w:tabs>
                <w:tab w:val="left" w:pos="720"/>
                <w:tab w:val="left" w:pos="4050"/>
              </w:tabs>
              <w:spacing w:after="240"/>
              <w:jc w:val="both"/>
              <w:rPr>
                <w:rFonts w:ascii="Times New Roman" w:hAnsi="Times New Roman" w:cs="Times New Roman"/>
                <w:b w:val="0"/>
                <w:color w:val="000000" w:themeColor="text1"/>
                <w:sz w:val="22"/>
                <w:szCs w:val="22"/>
              </w:rPr>
            </w:pPr>
          </w:p>
        </w:tc>
      </w:tr>
    </w:tbl>
    <w:p w14:paraId="38A60C06" w14:textId="0D920625" w:rsidR="006F54A7" w:rsidRPr="0065395F" w:rsidRDefault="006F54A7" w:rsidP="005B26E0">
      <w:pPr>
        <w:spacing w:after="120" w:line="240" w:lineRule="auto"/>
        <w:rPr>
          <w:rFonts w:ascii="Times New Roman" w:hAnsi="Times New Roman"/>
        </w:rPr>
      </w:pPr>
    </w:p>
    <w:sectPr w:rsidR="006F54A7" w:rsidRPr="0065395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55F2" w14:textId="77777777" w:rsidR="00951014" w:rsidRDefault="00951014" w:rsidP="00A737BA">
      <w:pPr>
        <w:spacing w:after="0" w:line="240" w:lineRule="auto"/>
      </w:pPr>
      <w:r>
        <w:separator/>
      </w:r>
    </w:p>
  </w:endnote>
  <w:endnote w:type="continuationSeparator" w:id="0">
    <w:p w14:paraId="72D89A24" w14:textId="77777777" w:rsidR="00951014" w:rsidRDefault="00951014" w:rsidP="00A7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255581"/>
      <w:docPartObj>
        <w:docPartGallery w:val="Page Numbers (Bottom of Page)"/>
        <w:docPartUnique/>
      </w:docPartObj>
    </w:sdtPr>
    <w:sdtEndPr>
      <w:rPr>
        <w:rStyle w:val="PageNumber"/>
      </w:rPr>
    </w:sdtEndPr>
    <w:sdtContent>
      <w:p w14:paraId="2CE55F04" w14:textId="617EE402" w:rsidR="00EE58FE" w:rsidRDefault="00EE58FE" w:rsidP="00C627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BD903" w14:textId="77777777" w:rsidR="00EE58FE" w:rsidRDefault="00EE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342314"/>
      <w:docPartObj>
        <w:docPartGallery w:val="Page Numbers (Bottom of Page)"/>
        <w:docPartUnique/>
      </w:docPartObj>
    </w:sdtPr>
    <w:sdtEndPr>
      <w:rPr>
        <w:rStyle w:val="PageNumber"/>
        <w:sz w:val="22"/>
        <w:szCs w:val="22"/>
      </w:rPr>
    </w:sdtEndPr>
    <w:sdtContent>
      <w:p w14:paraId="43092BBC" w14:textId="4AF163FB" w:rsidR="00EE58FE" w:rsidRPr="00EE58FE" w:rsidRDefault="00EE58FE" w:rsidP="00C62746">
        <w:pPr>
          <w:pStyle w:val="Footer"/>
          <w:framePr w:wrap="none" w:vAnchor="text" w:hAnchor="margin" w:xAlign="center" w:y="1"/>
          <w:rPr>
            <w:rStyle w:val="PageNumber"/>
            <w:sz w:val="22"/>
            <w:szCs w:val="22"/>
          </w:rPr>
        </w:pPr>
        <w:r w:rsidRPr="00EE58FE">
          <w:rPr>
            <w:rStyle w:val="PageNumber"/>
            <w:sz w:val="22"/>
            <w:szCs w:val="22"/>
          </w:rPr>
          <w:fldChar w:fldCharType="begin"/>
        </w:r>
        <w:r w:rsidRPr="00EE58FE">
          <w:rPr>
            <w:rStyle w:val="PageNumber"/>
            <w:sz w:val="22"/>
            <w:szCs w:val="22"/>
          </w:rPr>
          <w:instrText xml:space="preserve"> PAGE </w:instrText>
        </w:r>
        <w:r w:rsidRPr="00EE58FE">
          <w:rPr>
            <w:rStyle w:val="PageNumber"/>
            <w:sz w:val="22"/>
            <w:szCs w:val="22"/>
          </w:rPr>
          <w:fldChar w:fldCharType="separate"/>
        </w:r>
        <w:r w:rsidRPr="00EE58FE">
          <w:rPr>
            <w:rStyle w:val="PageNumber"/>
            <w:noProof/>
            <w:sz w:val="22"/>
            <w:szCs w:val="22"/>
          </w:rPr>
          <w:t>9</w:t>
        </w:r>
        <w:r w:rsidRPr="00EE58FE">
          <w:rPr>
            <w:rStyle w:val="PageNumber"/>
            <w:sz w:val="22"/>
            <w:szCs w:val="22"/>
          </w:rPr>
          <w:fldChar w:fldCharType="end"/>
        </w:r>
      </w:p>
    </w:sdtContent>
  </w:sdt>
  <w:p w14:paraId="751D00D5" w14:textId="77777777" w:rsidR="00EE58FE" w:rsidRDefault="00EE5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D722" w14:textId="77777777" w:rsidR="001773D0" w:rsidRDefault="0017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B76E" w14:textId="77777777" w:rsidR="00951014" w:rsidRDefault="00951014" w:rsidP="00A737BA">
      <w:pPr>
        <w:spacing w:after="0" w:line="240" w:lineRule="auto"/>
      </w:pPr>
      <w:r>
        <w:separator/>
      </w:r>
    </w:p>
  </w:footnote>
  <w:footnote w:type="continuationSeparator" w:id="0">
    <w:p w14:paraId="4165A95A" w14:textId="77777777" w:rsidR="00951014" w:rsidRDefault="00951014" w:rsidP="00A7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6714" w14:textId="77777777" w:rsidR="001773D0" w:rsidRDefault="00177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07B9" w14:textId="64120E50" w:rsidR="00367720" w:rsidRPr="001773D0" w:rsidRDefault="00367720" w:rsidP="00177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F0C6" w14:textId="77777777" w:rsidR="001773D0" w:rsidRDefault="00177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A5F"/>
    <w:multiLevelType w:val="hybridMultilevel"/>
    <w:tmpl w:val="5E729CE4"/>
    <w:lvl w:ilvl="0" w:tplc="BC64F796">
      <w:start w:val="1"/>
      <w:numFmt w:val="decimal"/>
      <w:lvlText w:val="%1."/>
      <w:lvlJc w:val="left"/>
      <w:pPr>
        <w:tabs>
          <w:tab w:val="num" w:pos="720"/>
        </w:tabs>
        <w:ind w:left="720" w:hanging="360"/>
      </w:pPr>
    </w:lvl>
    <w:lvl w:ilvl="1" w:tplc="DEEA32CA">
      <w:start w:val="1"/>
      <w:numFmt w:val="decimal"/>
      <w:lvlText w:val="%2."/>
      <w:lvlJc w:val="left"/>
      <w:pPr>
        <w:tabs>
          <w:tab w:val="num" w:pos="1440"/>
        </w:tabs>
        <w:ind w:left="1440" w:hanging="360"/>
      </w:pPr>
    </w:lvl>
    <w:lvl w:ilvl="2" w:tplc="C28AAF56">
      <w:start w:val="1"/>
      <w:numFmt w:val="decimal"/>
      <w:lvlText w:val="%3."/>
      <w:lvlJc w:val="left"/>
      <w:pPr>
        <w:tabs>
          <w:tab w:val="num" w:pos="2160"/>
        </w:tabs>
        <w:ind w:left="2160" w:hanging="360"/>
      </w:pPr>
    </w:lvl>
    <w:lvl w:ilvl="3" w:tplc="24288108">
      <w:start w:val="1"/>
      <w:numFmt w:val="decimal"/>
      <w:lvlText w:val="%4."/>
      <w:lvlJc w:val="left"/>
      <w:pPr>
        <w:tabs>
          <w:tab w:val="num" w:pos="2880"/>
        </w:tabs>
        <w:ind w:left="2880" w:hanging="360"/>
      </w:pPr>
    </w:lvl>
    <w:lvl w:ilvl="4" w:tplc="912E1B2C">
      <w:start w:val="1"/>
      <w:numFmt w:val="decimal"/>
      <w:lvlText w:val="%5."/>
      <w:lvlJc w:val="left"/>
      <w:pPr>
        <w:tabs>
          <w:tab w:val="num" w:pos="3600"/>
        </w:tabs>
        <w:ind w:left="3600" w:hanging="360"/>
      </w:pPr>
    </w:lvl>
    <w:lvl w:ilvl="5" w:tplc="C06C8AD2">
      <w:start w:val="1"/>
      <w:numFmt w:val="decimal"/>
      <w:lvlText w:val="%6."/>
      <w:lvlJc w:val="left"/>
      <w:pPr>
        <w:tabs>
          <w:tab w:val="num" w:pos="4320"/>
        </w:tabs>
        <w:ind w:left="4320" w:hanging="360"/>
      </w:pPr>
    </w:lvl>
    <w:lvl w:ilvl="6" w:tplc="027EF2FA">
      <w:start w:val="1"/>
      <w:numFmt w:val="decimal"/>
      <w:lvlText w:val="%7."/>
      <w:lvlJc w:val="left"/>
      <w:pPr>
        <w:tabs>
          <w:tab w:val="num" w:pos="5040"/>
        </w:tabs>
        <w:ind w:left="5040" w:hanging="360"/>
      </w:pPr>
    </w:lvl>
    <w:lvl w:ilvl="7" w:tplc="21CAB786">
      <w:start w:val="1"/>
      <w:numFmt w:val="decimal"/>
      <w:lvlText w:val="%8."/>
      <w:lvlJc w:val="left"/>
      <w:pPr>
        <w:tabs>
          <w:tab w:val="num" w:pos="5760"/>
        </w:tabs>
        <w:ind w:left="5760" w:hanging="360"/>
      </w:pPr>
    </w:lvl>
    <w:lvl w:ilvl="8" w:tplc="1FCC20D2">
      <w:start w:val="1"/>
      <w:numFmt w:val="decimal"/>
      <w:lvlText w:val="%9."/>
      <w:lvlJc w:val="left"/>
      <w:pPr>
        <w:tabs>
          <w:tab w:val="num" w:pos="6480"/>
        </w:tabs>
        <w:ind w:left="6480" w:hanging="360"/>
      </w:pPr>
    </w:lvl>
  </w:abstractNum>
  <w:abstractNum w:abstractNumId="1" w15:restartNumberingAfterBreak="0">
    <w:nsid w:val="0A6D2024"/>
    <w:multiLevelType w:val="multilevel"/>
    <w:tmpl w:val="B04E35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8"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83C3919"/>
    <w:multiLevelType w:val="hybridMultilevel"/>
    <w:tmpl w:val="E8164D78"/>
    <w:lvl w:ilvl="0" w:tplc="5F140306">
      <w:start w:val="1"/>
      <w:numFmt w:val="lowerRoman"/>
      <w:lvlText w:val="(%1)"/>
      <w:lvlJc w:val="left"/>
      <w:pPr>
        <w:ind w:left="720" w:hanging="36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3" w15:restartNumberingAfterBreak="0">
    <w:nsid w:val="2A2F06AC"/>
    <w:multiLevelType w:val="hybridMultilevel"/>
    <w:tmpl w:val="1D1E83F4"/>
    <w:lvl w:ilvl="0" w:tplc="AB542968">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4ABB"/>
    <w:multiLevelType w:val="hybridMultilevel"/>
    <w:tmpl w:val="167C0E5C"/>
    <w:lvl w:ilvl="0" w:tplc="597A0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24052"/>
    <w:multiLevelType w:val="hybridMultilevel"/>
    <w:tmpl w:val="AD6ED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369770C0"/>
    <w:multiLevelType w:val="hybridMultilevel"/>
    <w:tmpl w:val="9064E2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9B16C64"/>
    <w:multiLevelType w:val="hybridMultilevel"/>
    <w:tmpl w:val="67F6BC96"/>
    <w:lvl w:ilvl="0" w:tplc="4EF0B7FA">
      <w:start w:val="1"/>
      <w:numFmt w:val="lowerRoman"/>
      <w:lvlText w:val="(%1)"/>
      <w:lvlJc w:val="left"/>
      <w:pPr>
        <w:ind w:left="1168" w:hanging="72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9"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10" w15:restartNumberingAfterBreak="0">
    <w:nsid w:val="56D03D3B"/>
    <w:multiLevelType w:val="multilevel"/>
    <w:tmpl w:val="54F6B66C"/>
    <w:styleLink w:val="CurrentList1"/>
    <w:lvl w:ilvl="0">
      <w:start w:val="1"/>
      <w:numFmt w:val="lowerRoman"/>
      <w:lvlText w:val="%1."/>
      <w:lvlJc w:val="righ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11" w15:restartNumberingAfterBreak="0">
    <w:nsid w:val="576A53DB"/>
    <w:multiLevelType w:val="hybridMultilevel"/>
    <w:tmpl w:val="FDB82666"/>
    <w:lvl w:ilvl="0" w:tplc="1FA2116E">
      <w:start w:val="201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47478"/>
    <w:multiLevelType w:val="hybridMultilevel"/>
    <w:tmpl w:val="D60C0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14" w15:restartNumberingAfterBreak="0">
    <w:nsid w:val="7702503F"/>
    <w:multiLevelType w:val="hybridMultilevel"/>
    <w:tmpl w:val="9342D5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7ED2267"/>
    <w:multiLevelType w:val="hybridMultilevel"/>
    <w:tmpl w:val="0E2039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32986703">
    <w:abstractNumId w:val="13"/>
  </w:num>
  <w:num w:numId="2" w16cid:durableId="229075695">
    <w:abstractNumId w:val="12"/>
  </w:num>
  <w:num w:numId="3" w16cid:durableId="610864181">
    <w:abstractNumId w:val="9"/>
  </w:num>
  <w:num w:numId="4" w16cid:durableId="806119108">
    <w:abstractNumId w:val="1"/>
  </w:num>
  <w:num w:numId="5" w16cid:durableId="256208550">
    <w:abstractNumId w:val="5"/>
  </w:num>
  <w:num w:numId="6" w16cid:durableId="1133599528">
    <w:abstractNumId w:val="14"/>
  </w:num>
  <w:num w:numId="7" w16cid:durableId="1948849358">
    <w:abstractNumId w:val="7"/>
  </w:num>
  <w:num w:numId="8" w16cid:durableId="582840942">
    <w:abstractNumId w:val="15"/>
  </w:num>
  <w:num w:numId="9" w16cid:durableId="1314484550">
    <w:abstractNumId w:val="0"/>
  </w:num>
  <w:num w:numId="10" w16cid:durableId="374428165">
    <w:abstractNumId w:val="11"/>
  </w:num>
  <w:num w:numId="11" w16cid:durableId="1269198400">
    <w:abstractNumId w:val="4"/>
  </w:num>
  <w:num w:numId="12" w16cid:durableId="1665279174">
    <w:abstractNumId w:val="6"/>
  </w:num>
  <w:num w:numId="13" w16cid:durableId="908535697">
    <w:abstractNumId w:val="2"/>
  </w:num>
  <w:num w:numId="14" w16cid:durableId="1556773489">
    <w:abstractNumId w:val="8"/>
  </w:num>
  <w:num w:numId="15" w16cid:durableId="1840578720">
    <w:abstractNumId w:val="10"/>
  </w:num>
  <w:num w:numId="16" w16cid:durableId="147764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A2"/>
    <w:rsid w:val="000013D8"/>
    <w:rsid w:val="0000297A"/>
    <w:rsid w:val="000030FD"/>
    <w:rsid w:val="00005C9E"/>
    <w:rsid w:val="00006557"/>
    <w:rsid w:val="0001317F"/>
    <w:rsid w:val="00013D85"/>
    <w:rsid w:val="0001444C"/>
    <w:rsid w:val="0002019F"/>
    <w:rsid w:val="000242A9"/>
    <w:rsid w:val="00025175"/>
    <w:rsid w:val="000434A7"/>
    <w:rsid w:val="000441E7"/>
    <w:rsid w:val="000454C2"/>
    <w:rsid w:val="000552A1"/>
    <w:rsid w:val="000563A7"/>
    <w:rsid w:val="000563DE"/>
    <w:rsid w:val="000630B5"/>
    <w:rsid w:val="00063828"/>
    <w:rsid w:val="00063EE3"/>
    <w:rsid w:val="000645E5"/>
    <w:rsid w:val="00066E86"/>
    <w:rsid w:val="000764A5"/>
    <w:rsid w:val="00076A27"/>
    <w:rsid w:val="000830E2"/>
    <w:rsid w:val="0008334C"/>
    <w:rsid w:val="00086178"/>
    <w:rsid w:val="000911C1"/>
    <w:rsid w:val="00092108"/>
    <w:rsid w:val="000927B1"/>
    <w:rsid w:val="0009349E"/>
    <w:rsid w:val="00093764"/>
    <w:rsid w:val="00095C26"/>
    <w:rsid w:val="000A1904"/>
    <w:rsid w:val="000A2E3F"/>
    <w:rsid w:val="000B3A10"/>
    <w:rsid w:val="000D4C0D"/>
    <w:rsid w:val="000E062A"/>
    <w:rsid w:val="000E175E"/>
    <w:rsid w:val="00103132"/>
    <w:rsid w:val="001054E7"/>
    <w:rsid w:val="00124039"/>
    <w:rsid w:val="00126F2D"/>
    <w:rsid w:val="0012733C"/>
    <w:rsid w:val="00130F6A"/>
    <w:rsid w:val="00140C91"/>
    <w:rsid w:val="00144516"/>
    <w:rsid w:val="00153311"/>
    <w:rsid w:val="001554F7"/>
    <w:rsid w:val="001621C1"/>
    <w:rsid w:val="001715EA"/>
    <w:rsid w:val="00171746"/>
    <w:rsid w:val="001773D0"/>
    <w:rsid w:val="00180D51"/>
    <w:rsid w:val="001879D6"/>
    <w:rsid w:val="001957FF"/>
    <w:rsid w:val="0019797B"/>
    <w:rsid w:val="001A3C4B"/>
    <w:rsid w:val="001A5A62"/>
    <w:rsid w:val="001A73DB"/>
    <w:rsid w:val="001B0524"/>
    <w:rsid w:val="001B29CC"/>
    <w:rsid w:val="001B527B"/>
    <w:rsid w:val="001C4EDF"/>
    <w:rsid w:val="001C7BAF"/>
    <w:rsid w:val="001D2C9F"/>
    <w:rsid w:val="001D4134"/>
    <w:rsid w:val="001D5EA1"/>
    <w:rsid w:val="001E3399"/>
    <w:rsid w:val="001E4DD5"/>
    <w:rsid w:val="001E54C9"/>
    <w:rsid w:val="001F5A70"/>
    <w:rsid w:val="0020452C"/>
    <w:rsid w:val="00210355"/>
    <w:rsid w:val="0021257B"/>
    <w:rsid w:val="00214618"/>
    <w:rsid w:val="0021572F"/>
    <w:rsid w:val="00224268"/>
    <w:rsid w:val="00230EE3"/>
    <w:rsid w:val="00235210"/>
    <w:rsid w:val="00241BA7"/>
    <w:rsid w:val="00242823"/>
    <w:rsid w:val="00242974"/>
    <w:rsid w:val="002452CD"/>
    <w:rsid w:val="0024688D"/>
    <w:rsid w:val="00251D55"/>
    <w:rsid w:val="00252739"/>
    <w:rsid w:val="002569FA"/>
    <w:rsid w:val="002666B3"/>
    <w:rsid w:val="00266EDD"/>
    <w:rsid w:val="00275C71"/>
    <w:rsid w:val="002762A2"/>
    <w:rsid w:val="00286D81"/>
    <w:rsid w:val="00287245"/>
    <w:rsid w:val="00287541"/>
    <w:rsid w:val="00290CC7"/>
    <w:rsid w:val="00292609"/>
    <w:rsid w:val="00295B6F"/>
    <w:rsid w:val="00295E8A"/>
    <w:rsid w:val="002A2B13"/>
    <w:rsid w:val="002C547E"/>
    <w:rsid w:val="002C5A91"/>
    <w:rsid w:val="002D6B6C"/>
    <w:rsid w:val="002E1375"/>
    <w:rsid w:val="002E49FC"/>
    <w:rsid w:val="002E76B2"/>
    <w:rsid w:val="002F3455"/>
    <w:rsid w:val="002F4CE9"/>
    <w:rsid w:val="002F53C9"/>
    <w:rsid w:val="002F6BA4"/>
    <w:rsid w:val="002F751A"/>
    <w:rsid w:val="00310831"/>
    <w:rsid w:val="0031172C"/>
    <w:rsid w:val="00316C31"/>
    <w:rsid w:val="003204B1"/>
    <w:rsid w:val="00320C89"/>
    <w:rsid w:val="003226B7"/>
    <w:rsid w:val="00354938"/>
    <w:rsid w:val="00360E06"/>
    <w:rsid w:val="00364EC5"/>
    <w:rsid w:val="003653EC"/>
    <w:rsid w:val="00367720"/>
    <w:rsid w:val="00370FFC"/>
    <w:rsid w:val="0037540B"/>
    <w:rsid w:val="003778AC"/>
    <w:rsid w:val="00380367"/>
    <w:rsid w:val="003812DF"/>
    <w:rsid w:val="00382DC8"/>
    <w:rsid w:val="0038309D"/>
    <w:rsid w:val="00386757"/>
    <w:rsid w:val="00387848"/>
    <w:rsid w:val="00392254"/>
    <w:rsid w:val="00392E6B"/>
    <w:rsid w:val="003971A2"/>
    <w:rsid w:val="003A50E1"/>
    <w:rsid w:val="003B4743"/>
    <w:rsid w:val="003B489A"/>
    <w:rsid w:val="003B7287"/>
    <w:rsid w:val="003C1A8E"/>
    <w:rsid w:val="003C2D5F"/>
    <w:rsid w:val="003C5B17"/>
    <w:rsid w:val="003E0BEC"/>
    <w:rsid w:val="003E0F15"/>
    <w:rsid w:val="003E256F"/>
    <w:rsid w:val="003E29E4"/>
    <w:rsid w:val="003E5327"/>
    <w:rsid w:val="003E739D"/>
    <w:rsid w:val="003F021F"/>
    <w:rsid w:val="003F2665"/>
    <w:rsid w:val="003F4DA0"/>
    <w:rsid w:val="004115BA"/>
    <w:rsid w:val="00411A46"/>
    <w:rsid w:val="00412428"/>
    <w:rsid w:val="00422C2E"/>
    <w:rsid w:val="00423E90"/>
    <w:rsid w:val="00432036"/>
    <w:rsid w:val="00434A32"/>
    <w:rsid w:val="00437948"/>
    <w:rsid w:val="00442309"/>
    <w:rsid w:val="004477D9"/>
    <w:rsid w:val="00450D50"/>
    <w:rsid w:val="00456161"/>
    <w:rsid w:val="00456EAC"/>
    <w:rsid w:val="00457C93"/>
    <w:rsid w:val="00461D5B"/>
    <w:rsid w:val="004700EC"/>
    <w:rsid w:val="0047070A"/>
    <w:rsid w:val="004707AC"/>
    <w:rsid w:val="00470ECE"/>
    <w:rsid w:val="0047310A"/>
    <w:rsid w:val="004776F6"/>
    <w:rsid w:val="00492220"/>
    <w:rsid w:val="00497E3E"/>
    <w:rsid w:val="004A5546"/>
    <w:rsid w:val="004A77BC"/>
    <w:rsid w:val="004C325A"/>
    <w:rsid w:val="004C6A7F"/>
    <w:rsid w:val="004D2DB5"/>
    <w:rsid w:val="004E2FA4"/>
    <w:rsid w:val="004E310A"/>
    <w:rsid w:val="004E4201"/>
    <w:rsid w:val="004E60BA"/>
    <w:rsid w:val="004F6F09"/>
    <w:rsid w:val="005007F1"/>
    <w:rsid w:val="005009D6"/>
    <w:rsid w:val="00506408"/>
    <w:rsid w:val="00506E39"/>
    <w:rsid w:val="00512F60"/>
    <w:rsid w:val="005249F2"/>
    <w:rsid w:val="00532830"/>
    <w:rsid w:val="00532CAD"/>
    <w:rsid w:val="0054173F"/>
    <w:rsid w:val="0054383F"/>
    <w:rsid w:val="00543A2C"/>
    <w:rsid w:val="00554F85"/>
    <w:rsid w:val="00555896"/>
    <w:rsid w:val="00564AB1"/>
    <w:rsid w:val="005702D7"/>
    <w:rsid w:val="00575196"/>
    <w:rsid w:val="00581138"/>
    <w:rsid w:val="005820C1"/>
    <w:rsid w:val="00592262"/>
    <w:rsid w:val="005A1075"/>
    <w:rsid w:val="005A58AD"/>
    <w:rsid w:val="005B26E0"/>
    <w:rsid w:val="005B31EA"/>
    <w:rsid w:val="005B4FC1"/>
    <w:rsid w:val="005B6BE0"/>
    <w:rsid w:val="005C4C34"/>
    <w:rsid w:val="005C4FEF"/>
    <w:rsid w:val="005C66FF"/>
    <w:rsid w:val="005D07F2"/>
    <w:rsid w:val="005D168F"/>
    <w:rsid w:val="005D290C"/>
    <w:rsid w:val="005D40F5"/>
    <w:rsid w:val="005D5EDE"/>
    <w:rsid w:val="005E4682"/>
    <w:rsid w:val="005F1848"/>
    <w:rsid w:val="0060649C"/>
    <w:rsid w:val="00607994"/>
    <w:rsid w:val="00607D1F"/>
    <w:rsid w:val="0061461F"/>
    <w:rsid w:val="00633C1C"/>
    <w:rsid w:val="0065395F"/>
    <w:rsid w:val="006547CF"/>
    <w:rsid w:val="006669CD"/>
    <w:rsid w:val="00677734"/>
    <w:rsid w:val="00680A81"/>
    <w:rsid w:val="00684AD7"/>
    <w:rsid w:val="006856FE"/>
    <w:rsid w:val="006A2CC3"/>
    <w:rsid w:val="006A2F46"/>
    <w:rsid w:val="006A4A57"/>
    <w:rsid w:val="006A53D9"/>
    <w:rsid w:val="006A55F3"/>
    <w:rsid w:val="006A567E"/>
    <w:rsid w:val="006B26BC"/>
    <w:rsid w:val="006B6FD9"/>
    <w:rsid w:val="006B7F20"/>
    <w:rsid w:val="006C236C"/>
    <w:rsid w:val="006C44FD"/>
    <w:rsid w:val="006C4F94"/>
    <w:rsid w:val="006C7EE1"/>
    <w:rsid w:val="006F0B2A"/>
    <w:rsid w:val="006F0B87"/>
    <w:rsid w:val="006F377A"/>
    <w:rsid w:val="006F54A7"/>
    <w:rsid w:val="006F730A"/>
    <w:rsid w:val="00703AA4"/>
    <w:rsid w:val="007054E8"/>
    <w:rsid w:val="007079BC"/>
    <w:rsid w:val="00725617"/>
    <w:rsid w:val="00726A62"/>
    <w:rsid w:val="00726FF3"/>
    <w:rsid w:val="00733CD9"/>
    <w:rsid w:val="00745731"/>
    <w:rsid w:val="00747025"/>
    <w:rsid w:val="00762520"/>
    <w:rsid w:val="00770836"/>
    <w:rsid w:val="007768D3"/>
    <w:rsid w:val="007842EF"/>
    <w:rsid w:val="0079358B"/>
    <w:rsid w:val="00797B7C"/>
    <w:rsid w:val="007A0BDC"/>
    <w:rsid w:val="007A3882"/>
    <w:rsid w:val="007A3D46"/>
    <w:rsid w:val="007A5043"/>
    <w:rsid w:val="007B18F3"/>
    <w:rsid w:val="007B752C"/>
    <w:rsid w:val="007C020D"/>
    <w:rsid w:val="007C4202"/>
    <w:rsid w:val="007C79A7"/>
    <w:rsid w:val="007D24F5"/>
    <w:rsid w:val="007D4FCC"/>
    <w:rsid w:val="007D7B51"/>
    <w:rsid w:val="007E2C00"/>
    <w:rsid w:val="007E2FCB"/>
    <w:rsid w:val="007E5E8B"/>
    <w:rsid w:val="007E75A1"/>
    <w:rsid w:val="00804F51"/>
    <w:rsid w:val="00812D6B"/>
    <w:rsid w:val="00813567"/>
    <w:rsid w:val="00813675"/>
    <w:rsid w:val="00816A34"/>
    <w:rsid w:val="008202F2"/>
    <w:rsid w:val="0082079C"/>
    <w:rsid w:val="00821D22"/>
    <w:rsid w:val="00825B0B"/>
    <w:rsid w:val="00826AA5"/>
    <w:rsid w:val="00830102"/>
    <w:rsid w:val="00830660"/>
    <w:rsid w:val="008314E2"/>
    <w:rsid w:val="00835A66"/>
    <w:rsid w:val="008459B7"/>
    <w:rsid w:val="00845C2E"/>
    <w:rsid w:val="0085116C"/>
    <w:rsid w:val="00852BDA"/>
    <w:rsid w:val="00853F77"/>
    <w:rsid w:val="00855717"/>
    <w:rsid w:val="00855E79"/>
    <w:rsid w:val="00867E82"/>
    <w:rsid w:val="00874697"/>
    <w:rsid w:val="00874775"/>
    <w:rsid w:val="00874F32"/>
    <w:rsid w:val="008768CD"/>
    <w:rsid w:val="00882BF5"/>
    <w:rsid w:val="00885941"/>
    <w:rsid w:val="00890390"/>
    <w:rsid w:val="00891677"/>
    <w:rsid w:val="0089265C"/>
    <w:rsid w:val="00892A0C"/>
    <w:rsid w:val="008A12C9"/>
    <w:rsid w:val="008A245A"/>
    <w:rsid w:val="008A3CE5"/>
    <w:rsid w:val="008B5393"/>
    <w:rsid w:val="008C6221"/>
    <w:rsid w:val="008C6BBD"/>
    <w:rsid w:val="008D6CAB"/>
    <w:rsid w:val="008D7087"/>
    <w:rsid w:val="008E77AE"/>
    <w:rsid w:val="008F21D7"/>
    <w:rsid w:val="008F70AD"/>
    <w:rsid w:val="00901DEA"/>
    <w:rsid w:val="00904CC3"/>
    <w:rsid w:val="009117C8"/>
    <w:rsid w:val="009118F6"/>
    <w:rsid w:val="00912FEA"/>
    <w:rsid w:val="0091554A"/>
    <w:rsid w:val="0091640D"/>
    <w:rsid w:val="00920133"/>
    <w:rsid w:val="00926915"/>
    <w:rsid w:val="0093011F"/>
    <w:rsid w:val="00933B91"/>
    <w:rsid w:val="00940461"/>
    <w:rsid w:val="00943869"/>
    <w:rsid w:val="00950232"/>
    <w:rsid w:val="00950721"/>
    <w:rsid w:val="00951014"/>
    <w:rsid w:val="009566B6"/>
    <w:rsid w:val="00961E2C"/>
    <w:rsid w:val="00972AB7"/>
    <w:rsid w:val="00972D76"/>
    <w:rsid w:val="00977E5A"/>
    <w:rsid w:val="00980642"/>
    <w:rsid w:val="009821C1"/>
    <w:rsid w:val="009834A7"/>
    <w:rsid w:val="00983CDF"/>
    <w:rsid w:val="00987F6C"/>
    <w:rsid w:val="00995085"/>
    <w:rsid w:val="0099792B"/>
    <w:rsid w:val="009A3938"/>
    <w:rsid w:val="009B08EA"/>
    <w:rsid w:val="009B0CB1"/>
    <w:rsid w:val="009B539B"/>
    <w:rsid w:val="009C173D"/>
    <w:rsid w:val="009C4AC9"/>
    <w:rsid w:val="009C608F"/>
    <w:rsid w:val="009D3223"/>
    <w:rsid w:val="009D372B"/>
    <w:rsid w:val="009D57E1"/>
    <w:rsid w:val="009D5908"/>
    <w:rsid w:val="009E30FA"/>
    <w:rsid w:val="009E3DD0"/>
    <w:rsid w:val="009E4741"/>
    <w:rsid w:val="009E6814"/>
    <w:rsid w:val="009F3DB0"/>
    <w:rsid w:val="00A01743"/>
    <w:rsid w:val="00A02652"/>
    <w:rsid w:val="00A0423A"/>
    <w:rsid w:val="00A07FDD"/>
    <w:rsid w:val="00A1216E"/>
    <w:rsid w:val="00A13D51"/>
    <w:rsid w:val="00A142A2"/>
    <w:rsid w:val="00A23BBA"/>
    <w:rsid w:val="00A25917"/>
    <w:rsid w:val="00A26DC7"/>
    <w:rsid w:val="00A322C9"/>
    <w:rsid w:val="00A4123E"/>
    <w:rsid w:val="00A41C76"/>
    <w:rsid w:val="00A42E7A"/>
    <w:rsid w:val="00A4400C"/>
    <w:rsid w:val="00A4633E"/>
    <w:rsid w:val="00A47997"/>
    <w:rsid w:val="00A52A71"/>
    <w:rsid w:val="00A56083"/>
    <w:rsid w:val="00A618B2"/>
    <w:rsid w:val="00A629B1"/>
    <w:rsid w:val="00A675E2"/>
    <w:rsid w:val="00A7037C"/>
    <w:rsid w:val="00A72F23"/>
    <w:rsid w:val="00A737BA"/>
    <w:rsid w:val="00A76FAE"/>
    <w:rsid w:val="00A8116B"/>
    <w:rsid w:val="00A8405A"/>
    <w:rsid w:val="00A87CC6"/>
    <w:rsid w:val="00A94147"/>
    <w:rsid w:val="00A94539"/>
    <w:rsid w:val="00A95C60"/>
    <w:rsid w:val="00AB1B22"/>
    <w:rsid w:val="00AB262B"/>
    <w:rsid w:val="00AB3605"/>
    <w:rsid w:val="00AB3790"/>
    <w:rsid w:val="00AB3D6A"/>
    <w:rsid w:val="00AB5F48"/>
    <w:rsid w:val="00AB7B7B"/>
    <w:rsid w:val="00AC0A95"/>
    <w:rsid w:val="00AC4108"/>
    <w:rsid w:val="00AF3763"/>
    <w:rsid w:val="00AF585D"/>
    <w:rsid w:val="00AF7144"/>
    <w:rsid w:val="00B00B01"/>
    <w:rsid w:val="00B0674E"/>
    <w:rsid w:val="00B0684C"/>
    <w:rsid w:val="00B10AB7"/>
    <w:rsid w:val="00B16803"/>
    <w:rsid w:val="00B2606C"/>
    <w:rsid w:val="00B34B30"/>
    <w:rsid w:val="00B364F8"/>
    <w:rsid w:val="00B4258C"/>
    <w:rsid w:val="00B44F2B"/>
    <w:rsid w:val="00B46ECC"/>
    <w:rsid w:val="00B47F3B"/>
    <w:rsid w:val="00B50DE9"/>
    <w:rsid w:val="00B52B44"/>
    <w:rsid w:val="00B62708"/>
    <w:rsid w:val="00B663DE"/>
    <w:rsid w:val="00B6680B"/>
    <w:rsid w:val="00B82003"/>
    <w:rsid w:val="00B8401E"/>
    <w:rsid w:val="00B8484E"/>
    <w:rsid w:val="00B84DA3"/>
    <w:rsid w:val="00B875D1"/>
    <w:rsid w:val="00B87B4E"/>
    <w:rsid w:val="00BB1F56"/>
    <w:rsid w:val="00BB5DE2"/>
    <w:rsid w:val="00BC296C"/>
    <w:rsid w:val="00BC3799"/>
    <w:rsid w:val="00BD11EE"/>
    <w:rsid w:val="00BD386E"/>
    <w:rsid w:val="00BE0568"/>
    <w:rsid w:val="00BF035B"/>
    <w:rsid w:val="00BF44AC"/>
    <w:rsid w:val="00C00020"/>
    <w:rsid w:val="00C013C2"/>
    <w:rsid w:val="00C04D51"/>
    <w:rsid w:val="00C05F83"/>
    <w:rsid w:val="00C071EF"/>
    <w:rsid w:val="00C07AE4"/>
    <w:rsid w:val="00C10FCE"/>
    <w:rsid w:val="00C1182C"/>
    <w:rsid w:val="00C14E5F"/>
    <w:rsid w:val="00C15093"/>
    <w:rsid w:val="00C15BCB"/>
    <w:rsid w:val="00C1696A"/>
    <w:rsid w:val="00C17DC9"/>
    <w:rsid w:val="00C20C6E"/>
    <w:rsid w:val="00C2111B"/>
    <w:rsid w:val="00C26C09"/>
    <w:rsid w:val="00C30864"/>
    <w:rsid w:val="00C4440D"/>
    <w:rsid w:val="00C52F8A"/>
    <w:rsid w:val="00C5307A"/>
    <w:rsid w:val="00C53C4B"/>
    <w:rsid w:val="00C545EC"/>
    <w:rsid w:val="00C57159"/>
    <w:rsid w:val="00C61912"/>
    <w:rsid w:val="00C735E2"/>
    <w:rsid w:val="00C778BA"/>
    <w:rsid w:val="00C82E50"/>
    <w:rsid w:val="00C90F72"/>
    <w:rsid w:val="00C9268B"/>
    <w:rsid w:val="00C956F1"/>
    <w:rsid w:val="00C97BE3"/>
    <w:rsid w:val="00CA2769"/>
    <w:rsid w:val="00CA5969"/>
    <w:rsid w:val="00CB0579"/>
    <w:rsid w:val="00CB45B1"/>
    <w:rsid w:val="00CB4DB1"/>
    <w:rsid w:val="00CB79D7"/>
    <w:rsid w:val="00CC284F"/>
    <w:rsid w:val="00CC760A"/>
    <w:rsid w:val="00CD1D0C"/>
    <w:rsid w:val="00CD3D25"/>
    <w:rsid w:val="00CD545C"/>
    <w:rsid w:val="00CE39D0"/>
    <w:rsid w:val="00CE72E7"/>
    <w:rsid w:val="00D0357C"/>
    <w:rsid w:val="00D11390"/>
    <w:rsid w:val="00D12612"/>
    <w:rsid w:val="00D12684"/>
    <w:rsid w:val="00D12B6C"/>
    <w:rsid w:val="00D20F2E"/>
    <w:rsid w:val="00D23B7F"/>
    <w:rsid w:val="00D263A9"/>
    <w:rsid w:val="00D26403"/>
    <w:rsid w:val="00D2675E"/>
    <w:rsid w:val="00D4504F"/>
    <w:rsid w:val="00D46551"/>
    <w:rsid w:val="00D61B87"/>
    <w:rsid w:val="00D635D0"/>
    <w:rsid w:val="00D638FA"/>
    <w:rsid w:val="00D643E7"/>
    <w:rsid w:val="00D64FF0"/>
    <w:rsid w:val="00D665DA"/>
    <w:rsid w:val="00D7001F"/>
    <w:rsid w:val="00D70061"/>
    <w:rsid w:val="00D752B8"/>
    <w:rsid w:val="00D75C16"/>
    <w:rsid w:val="00D80A20"/>
    <w:rsid w:val="00D83533"/>
    <w:rsid w:val="00D8436F"/>
    <w:rsid w:val="00D9543D"/>
    <w:rsid w:val="00D95602"/>
    <w:rsid w:val="00D96279"/>
    <w:rsid w:val="00D9672C"/>
    <w:rsid w:val="00D97F5D"/>
    <w:rsid w:val="00D97FEF"/>
    <w:rsid w:val="00DA11F3"/>
    <w:rsid w:val="00DA15FD"/>
    <w:rsid w:val="00DA1692"/>
    <w:rsid w:val="00DA2E9F"/>
    <w:rsid w:val="00DA3410"/>
    <w:rsid w:val="00DA5316"/>
    <w:rsid w:val="00DA695F"/>
    <w:rsid w:val="00DB57ED"/>
    <w:rsid w:val="00DC3DAD"/>
    <w:rsid w:val="00DD0A40"/>
    <w:rsid w:val="00DF03AD"/>
    <w:rsid w:val="00DF52C8"/>
    <w:rsid w:val="00DF6A19"/>
    <w:rsid w:val="00E047CA"/>
    <w:rsid w:val="00E04C0E"/>
    <w:rsid w:val="00E06C98"/>
    <w:rsid w:val="00E16FF5"/>
    <w:rsid w:val="00E17279"/>
    <w:rsid w:val="00E34ED6"/>
    <w:rsid w:val="00E35D77"/>
    <w:rsid w:val="00E425AB"/>
    <w:rsid w:val="00E43438"/>
    <w:rsid w:val="00E46D24"/>
    <w:rsid w:val="00E53245"/>
    <w:rsid w:val="00E56A5B"/>
    <w:rsid w:val="00E605C4"/>
    <w:rsid w:val="00E644CC"/>
    <w:rsid w:val="00E73655"/>
    <w:rsid w:val="00E76B4C"/>
    <w:rsid w:val="00E94FBB"/>
    <w:rsid w:val="00EA0A46"/>
    <w:rsid w:val="00EA0FAD"/>
    <w:rsid w:val="00EA51E6"/>
    <w:rsid w:val="00EA7B6D"/>
    <w:rsid w:val="00EB0FA3"/>
    <w:rsid w:val="00EB23C4"/>
    <w:rsid w:val="00EB320D"/>
    <w:rsid w:val="00EB684A"/>
    <w:rsid w:val="00EC00A0"/>
    <w:rsid w:val="00EC0A2D"/>
    <w:rsid w:val="00EC2098"/>
    <w:rsid w:val="00EC73EE"/>
    <w:rsid w:val="00ED0789"/>
    <w:rsid w:val="00ED1AFE"/>
    <w:rsid w:val="00ED3940"/>
    <w:rsid w:val="00ED5E3A"/>
    <w:rsid w:val="00ED64BD"/>
    <w:rsid w:val="00ED79B8"/>
    <w:rsid w:val="00EE134B"/>
    <w:rsid w:val="00EE2D64"/>
    <w:rsid w:val="00EE58FE"/>
    <w:rsid w:val="00EE79D6"/>
    <w:rsid w:val="00EF447F"/>
    <w:rsid w:val="00F0065B"/>
    <w:rsid w:val="00F03903"/>
    <w:rsid w:val="00F06857"/>
    <w:rsid w:val="00F15A2C"/>
    <w:rsid w:val="00F17051"/>
    <w:rsid w:val="00F22FCC"/>
    <w:rsid w:val="00F23171"/>
    <w:rsid w:val="00F341C8"/>
    <w:rsid w:val="00F37761"/>
    <w:rsid w:val="00F40BFD"/>
    <w:rsid w:val="00F4105C"/>
    <w:rsid w:val="00F43FA2"/>
    <w:rsid w:val="00F43FB2"/>
    <w:rsid w:val="00F50602"/>
    <w:rsid w:val="00F50E00"/>
    <w:rsid w:val="00F5255C"/>
    <w:rsid w:val="00F55938"/>
    <w:rsid w:val="00F61250"/>
    <w:rsid w:val="00F71628"/>
    <w:rsid w:val="00F72C56"/>
    <w:rsid w:val="00F75E9B"/>
    <w:rsid w:val="00F77D0A"/>
    <w:rsid w:val="00F81D07"/>
    <w:rsid w:val="00F91C30"/>
    <w:rsid w:val="00FA2A59"/>
    <w:rsid w:val="00FA3683"/>
    <w:rsid w:val="00FA40EF"/>
    <w:rsid w:val="00FA50FD"/>
    <w:rsid w:val="00FA58EE"/>
    <w:rsid w:val="00FA78A3"/>
    <w:rsid w:val="00FB248D"/>
    <w:rsid w:val="00FC1144"/>
    <w:rsid w:val="00FD04B1"/>
    <w:rsid w:val="00FE095F"/>
    <w:rsid w:val="00FE1DA8"/>
    <w:rsid w:val="00FE5A74"/>
    <w:rsid w:val="00FE6BA6"/>
    <w:rsid w:val="00FF4AE8"/>
    <w:rsid w:val="00FF6977"/>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F575"/>
  <w15:chartTrackingRefBased/>
  <w15:docId w15:val="{DC328A23-DFBC-48FD-8452-98C0A0E4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A2"/>
    <w:pPr>
      <w:spacing w:after="200" w:line="264" w:lineRule="auto"/>
    </w:pPr>
    <w:rPr>
      <w:rFonts w:ascii="Calibri" w:eastAsia="Times New Roman" w:hAnsi="Calibri" w:cs="Times New Roman"/>
    </w:rPr>
  </w:style>
  <w:style w:type="paragraph" w:styleId="Heading1">
    <w:name w:val="heading 1"/>
    <w:basedOn w:val="Normal"/>
    <w:next w:val="Normal"/>
    <w:link w:val="Heading1Char"/>
    <w:uiPriority w:val="9"/>
    <w:qFormat/>
    <w:rsid w:val="00252739"/>
    <w:pPr>
      <w:keepNext/>
      <w:keepLines/>
      <w:numPr>
        <w:numId w:val="4"/>
      </w:numPr>
      <w:spacing w:before="240" w:after="0" w:line="259" w:lineRule="auto"/>
      <w:outlineLvl w:val="0"/>
    </w:pPr>
    <w:rPr>
      <w:rFonts w:ascii="Segoe UI" w:eastAsiaTheme="majorEastAsia" w:hAnsi="Segoe U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252739"/>
    <w:pPr>
      <w:keepNext/>
      <w:keepLines/>
      <w:numPr>
        <w:ilvl w:val="1"/>
        <w:numId w:val="4"/>
      </w:numPr>
      <w:spacing w:before="40" w:after="0" w:line="259" w:lineRule="auto"/>
      <w:outlineLvl w:val="1"/>
    </w:pPr>
    <w:rPr>
      <w:rFonts w:ascii="Segoe UI" w:eastAsiaTheme="majorEastAsia" w:hAnsi="Segoe U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252739"/>
    <w:pPr>
      <w:keepNext/>
      <w:keepLines/>
      <w:numPr>
        <w:ilvl w:val="2"/>
        <w:numId w:val="4"/>
      </w:numPr>
      <w:spacing w:before="40" w:after="0" w:line="256" w:lineRule="auto"/>
      <w:outlineLvl w:val="2"/>
    </w:pPr>
    <w:rPr>
      <w:rFonts w:ascii="Segoe UI" w:eastAsiaTheme="majorEastAsia" w:hAnsi="Segoe UI" w:cstheme="majorBidi"/>
      <w:color w:val="1F3763" w:themeColor="accent1" w:themeShade="7F"/>
      <w:sz w:val="28"/>
      <w:szCs w:val="24"/>
    </w:rPr>
  </w:style>
  <w:style w:type="paragraph" w:styleId="Heading4">
    <w:name w:val="heading 4"/>
    <w:basedOn w:val="Normal"/>
    <w:next w:val="Normal"/>
    <w:link w:val="Heading4Char"/>
    <w:uiPriority w:val="9"/>
    <w:semiHidden/>
    <w:unhideWhenUsed/>
    <w:qFormat/>
    <w:rsid w:val="00252739"/>
    <w:pPr>
      <w:keepNext/>
      <w:keepLines/>
      <w:numPr>
        <w:ilvl w:val="3"/>
        <w:numId w:val="4"/>
      </w:numPr>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2739"/>
    <w:pPr>
      <w:keepNext/>
      <w:keepLines/>
      <w:numPr>
        <w:ilvl w:val="4"/>
        <w:numId w:val="4"/>
      </w:numPr>
      <w:spacing w:before="40" w:after="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2739"/>
    <w:pPr>
      <w:keepNext/>
      <w:keepLines/>
      <w:numPr>
        <w:ilvl w:val="5"/>
        <w:numId w:val="4"/>
      </w:numPr>
      <w:spacing w:before="40" w:after="0" w:line="259"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739"/>
    <w:pPr>
      <w:keepNext/>
      <w:keepLines/>
      <w:numPr>
        <w:ilvl w:val="6"/>
        <w:numId w:val="4"/>
      </w:numPr>
      <w:spacing w:before="40" w:after="0" w:line="259"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739"/>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739"/>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43FA2"/>
    <w:pPr>
      <w:widowControl w:val="0"/>
      <w:autoSpaceDE w:val="0"/>
      <w:autoSpaceDN w:val="0"/>
      <w:spacing w:after="0" w:line="240" w:lineRule="auto"/>
      <w:ind w:left="107"/>
    </w:pPr>
    <w:rPr>
      <w:rFonts w:ascii="Times New Roman" w:hAnsi="Times New Roman"/>
    </w:rPr>
  </w:style>
  <w:style w:type="character" w:styleId="CommentReference">
    <w:name w:val="annotation reference"/>
    <w:uiPriority w:val="99"/>
    <w:semiHidden/>
    <w:unhideWhenUsed/>
    <w:rsid w:val="00F43FA2"/>
    <w:rPr>
      <w:sz w:val="16"/>
      <w:szCs w:val="16"/>
    </w:rPr>
  </w:style>
  <w:style w:type="paragraph" w:customStyle="1" w:styleId="00Normal">
    <w:name w:val="00 Normal"/>
    <w:basedOn w:val="Normal"/>
    <w:qFormat/>
    <w:rsid w:val="00F43FA2"/>
    <w:pPr>
      <w:spacing w:after="240" w:line="240" w:lineRule="auto"/>
      <w:jc w:val="both"/>
    </w:pPr>
    <w:rPr>
      <w:rFonts w:ascii="Times New Roman" w:eastAsia="Cambria" w:hAnsi="Times New Roman"/>
      <w:szCs w:val="24"/>
    </w:rPr>
  </w:style>
  <w:style w:type="paragraph" w:customStyle="1" w:styleId="00PlainText">
    <w:name w:val="00 Plain Text"/>
    <w:basedOn w:val="Normal"/>
    <w:qFormat/>
    <w:rsid w:val="00F43FA2"/>
    <w:pPr>
      <w:spacing w:after="0" w:line="240" w:lineRule="auto"/>
      <w:jc w:val="both"/>
    </w:pPr>
    <w:rPr>
      <w:rFonts w:ascii="Times New Roman" w:eastAsia="Cambria" w:hAnsi="Times New Roman"/>
      <w:szCs w:val="24"/>
    </w:rPr>
  </w:style>
  <w:style w:type="paragraph" w:customStyle="1" w:styleId="00TitleC">
    <w:name w:val="00 Title C"/>
    <w:basedOn w:val="Normal"/>
    <w:qFormat/>
    <w:rsid w:val="00F43FA2"/>
    <w:pPr>
      <w:keepNext/>
      <w:spacing w:after="240" w:line="240" w:lineRule="auto"/>
      <w:jc w:val="center"/>
    </w:pPr>
    <w:rPr>
      <w:rFonts w:ascii="Times New Roman" w:eastAsia="Cambria" w:hAnsi="Times New Roman"/>
      <w:b/>
      <w:szCs w:val="24"/>
    </w:rPr>
  </w:style>
  <w:style w:type="paragraph" w:styleId="CommentText">
    <w:name w:val="annotation text"/>
    <w:basedOn w:val="Normal"/>
    <w:link w:val="CommentTextChar"/>
    <w:uiPriority w:val="99"/>
    <w:unhideWhenUsed/>
    <w:rsid w:val="00C4440D"/>
    <w:pPr>
      <w:spacing w:line="240" w:lineRule="auto"/>
    </w:pPr>
    <w:rPr>
      <w:sz w:val="20"/>
      <w:szCs w:val="20"/>
    </w:rPr>
  </w:style>
  <w:style w:type="character" w:customStyle="1" w:styleId="CommentTextChar">
    <w:name w:val="Comment Text Char"/>
    <w:basedOn w:val="DefaultParagraphFont"/>
    <w:link w:val="CommentText"/>
    <w:uiPriority w:val="99"/>
    <w:rsid w:val="00C4440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440D"/>
    <w:rPr>
      <w:b/>
      <w:bCs/>
    </w:rPr>
  </w:style>
  <w:style w:type="character" w:customStyle="1" w:styleId="CommentSubjectChar">
    <w:name w:val="Comment Subject Char"/>
    <w:basedOn w:val="CommentTextChar"/>
    <w:link w:val="CommentSubject"/>
    <w:uiPriority w:val="99"/>
    <w:semiHidden/>
    <w:rsid w:val="00C4440D"/>
    <w:rPr>
      <w:rFonts w:ascii="Calibri" w:eastAsia="Times New Roman" w:hAnsi="Calibri" w:cs="Times New Roman"/>
      <w:b/>
      <w:bCs/>
      <w:sz w:val="20"/>
      <w:szCs w:val="20"/>
    </w:rPr>
  </w:style>
  <w:style w:type="paragraph" w:styleId="Revision">
    <w:name w:val="Revision"/>
    <w:hidden/>
    <w:uiPriority w:val="99"/>
    <w:semiHidden/>
    <w:rsid w:val="001C4EDF"/>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09349E"/>
    <w:pPr>
      <w:tabs>
        <w:tab w:val="center" w:pos="4680"/>
        <w:tab w:val="right" w:pos="9360"/>
      </w:tabs>
      <w:spacing w:after="0" w:line="240" w:lineRule="auto"/>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09349E"/>
    <w:rPr>
      <w:rFonts w:ascii="Times New Roman" w:eastAsiaTheme="minorEastAsia" w:hAnsi="Times New Roman" w:cs="Times New Roman"/>
      <w:sz w:val="24"/>
      <w:szCs w:val="24"/>
    </w:rPr>
  </w:style>
  <w:style w:type="paragraph" w:customStyle="1" w:styleId="JeffsPreferredBullets">
    <w:name w:val="Jeff's Preferred Bullets"/>
    <w:basedOn w:val="Normal"/>
    <w:link w:val="JeffsPreferredBulletsChar"/>
    <w:qFormat/>
    <w:rsid w:val="0009349E"/>
    <w:pPr>
      <w:numPr>
        <w:numId w:val="1"/>
      </w:numPr>
      <w:spacing w:after="0" w:line="276" w:lineRule="auto"/>
      <w:contextualSpacing/>
    </w:pPr>
    <w:rPr>
      <w:rFonts w:ascii="Arial" w:eastAsia="Arial" w:hAnsi="Arial" w:cs="Arial"/>
      <w:color w:val="000000"/>
    </w:rPr>
  </w:style>
  <w:style w:type="character" w:customStyle="1" w:styleId="JeffsPreferredBulletsChar">
    <w:name w:val="Jeff's Preferred Bullets Char"/>
    <w:link w:val="JeffsPreferredBullets"/>
    <w:rsid w:val="0009349E"/>
    <w:rPr>
      <w:rFonts w:ascii="Arial" w:eastAsia="Arial" w:hAnsi="Arial" w:cs="Arial"/>
      <w:color w:val="000000"/>
    </w:rPr>
  </w:style>
  <w:style w:type="paragraph" w:customStyle="1" w:styleId="ArticleL1">
    <w:name w:val="Article_L1"/>
    <w:basedOn w:val="Normal"/>
    <w:next w:val="BodyText"/>
    <w:rsid w:val="00EB320D"/>
    <w:pPr>
      <w:keepNext/>
      <w:numPr>
        <w:numId w:val="3"/>
      </w:numPr>
      <w:spacing w:after="240" w:line="240" w:lineRule="auto"/>
      <w:jc w:val="center"/>
      <w:outlineLvl w:val="0"/>
    </w:pPr>
    <w:rPr>
      <w:rFonts w:ascii="Times New Roman" w:hAnsi="Times New Roman"/>
      <w:b/>
      <w:caps/>
      <w:sz w:val="24"/>
      <w:szCs w:val="20"/>
    </w:rPr>
  </w:style>
  <w:style w:type="paragraph" w:customStyle="1" w:styleId="ArticleL2">
    <w:name w:val="Article_L2"/>
    <w:basedOn w:val="ArticleL1"/>
    <w:next w:val="BodyText"/>
    <w:rsid w:val="00EB320D"/>
    <w:pPr>
      <w:keepNext w:val="0"/>
      <w:numPr>
        <w:ilvl w:val="1"/>
      </w:numPr>
      <w:jc w:val="both"/>
      <w:outlineLvl w:val="1"/>
    </w:pPr>
    <w:rPr>
      <w:b w:val="0"/>
      <w:caps w:val="0"/>
    </w:rPr>
  </w:style>
  <w:style w:type="paragraph" w:customStyle="1" w:styleId="ArticleL3">
    <w:name w:val="Article_L3"/>
    <w:basedOn w:val="ArticleL2"/>
    <w:next w:val="BodyText"/>
    <w:link w:val="ArticleL3Char"/>
    <w:rsid w:val="00EB320D"/>
    <w:pPr>
      <w:numPr>
        <w:ilvl w:val="2"/>
      </w:numPr>
      <w:outlineLvl w:val="2"/>
    </w:pPr>
  </w:style>
  <w:style w:type="character" w:customStyle="1" w:styleId="ArticleL3Char">
    <w:name w:val="Article_L3 Char"/>
    <w:basedOn w:val="DefaultParagraphFont"/>
    <w:link w:val="ArticleL3"/>
    <w:rsid w:val="00EB320D"/>
    <w:rPr>
      <w:rFonts w:ascii="Times New Roman" w:eastAsia="Times New Roman" w:hAnsi="Times New Roman" w:cs="Times New Roman"/>
      <w:sz w:val="24"/>
      <w:szCs w:val="20"/>
    </w:rPr>
  </w:style>
  <w:style w:type="paragraph" w:customStyle="1" w:styleId="ArticleL4">
    <w:name w:val="Article_L4"/>
    <w:basedOn w:val="ArticleL3"/>
    <w:next w:val="BodyText"/>
    <w:rsid w:val="00EB320D"/>
    <w:pPr>
      <w:numPr>
        <w:ilvl w:val="3"/>
      </w:numPr>
      <w:tabs>
        <w:tab w:val="clear" w:pos="2880"/>
        <w:tab w:val="num" w:pos="360"/>
      </w:tabs>
      <w:ind w:left="2880" w:hanging="360"/>
      <w:outlineLvl w:val="3"/>
    </w:pPr>
  </w:style>
  <w:style w:type="paragraph" w:customStyle="1" w:styleId="ArticleL5">
    <w:name w:val="Article_L5"/>
    <w:basedOn w:val="ArticleL4"/>
    <w:next w:val="BodyText"/>
    <w:rsid w:val="00EB320D"/>
    <w:pPr>
      <w:numPr>
        <w:ilvl w:val="4"/>
      </w:numPr>
      <w:tabs>
        <w:tab w:val="clear" w:pos="3600"/>
        <w:tab w:val="num" w:pos="360"/>
      </w:tabs>
      <w:ind w:left="3600" w:hanging="360"/>
      <w:outlineLvl w:val="4"/>
    </w:pPr>
  </w:style>
  <w:style w:type="paragraph" w:customStyle="1" w:styleId="ArticleL6">
    <w:name w:val="Article_L6"/>
    <w:basedOn w:val="ArticleL5"/>
    <w:next w:val="BodyText"/>
    <w:rsid w:val="00EB320D"/>
    <w:pPr>
      <w:numPr>
        <w:ilvl w:val="5"/>
      </w:numPr>
      <w:tabs>
        <w:tab w:val="clear" w:pos="4320"/>
        <w:tab w:val="num" w:pos="360"/>
      </w:tabs>
      <w:ind w:left="4320" w:hanging="180"/>
      <w:jc w:val="left"/>
      <w:outlineLvl w:val="5"/>
    </w:pPr>
  </w:style>
  <w:style w:type="paragraph" w:customStyle="1" w:styleId="ArticleL7">
    <w:name w:val="Article_L7"/>
    <w:basedOn w:val="ArticleL6"/>
    <w:next w:val="BodyText"/>
    <w:rsid w:val="00EB320D"/>
    <w:pPr>
      <w:numPr>
        <w:ilvl w:val="6"/>
      </w:numPr>
      <w:tabs>
        <w:tab w:val="clear" w:pos="5040"/>
        <w:tab w:val="num" w:pos="360"/>
      </w:tabs>
      <w:ind w:left="5040" w:hanging="360"/>
      <w:outlineLvl w:val="6"/>
    </w:pPr>
  </w:style>
  <w:style w:type="paragraph" w:customStyle="1" w:styleId="ArticleL8">
    <w:name w:val="Article_L8"/>
    <w:basedOn w:val="ArticleL7"/>
    <w:next w:val="BodyText"/>
    <w:rsid w:val="00EB320D"/>
    <w:pPr>
      <w:numPr>
        <w:ilvl w:val="7"/>
      </w:numPr>
      <w:tabs>
        <w:tab w:val="clear" w:pos="5760"/>
        <w:tab w:val="num" w:pos="360"/>
      </w:tabs>
      <w:ind w:left="5760" w:hanging="360"/>
      <w:outlineLvl w:val="7"/>
    </w:pPr>
  </w:style>
  <w:style w:type="paragraph" w:customStyle="1" w:styleId="ArticleL9">
    <w:name w:val="Article_L9"/>
    <w:basedOn w:val="ArticleL8"/>
    <w:next w:val="BodyText"/>
    <w:rsid w:val="00EB320D"/>
    <w:pPr>
      <w:numPr>
        <w:ilvl w:val="8"/>
      </w:numPr>
      <w:tabs>
        <w:tab w:val="clear" w:pos="6480"/>
        <w:tab w:val="num" w:pos="360"/>
      </w:tabs>
      <w:ind w:left="6480" w:hanging="180"/>
      <w:outlineLvl w:val="8"/>
    </w:pPr>
  </w:style>
  <w:style w:type="paragraph" w:styleId="BodyText">
    <w:name w:val="Body Text"/>
    <w:basedOn w:val="Normal"/>
    <w:link w:val="BodyTextChar"/>
    <w:uiPriority w:val="99"/>
    <w:semiHidden/>
    <w:unhideWhenUsed/>
    <w:rsid w:val="00EB320D"/>
    <w:pPr>
      <w:spacing w:after="120"/>
    </w:pPr>
  </w:style>
  <w:style w:type="character" w:customStyle="1" w:styleId="BodyTextChar">
    <w:name w:val="Body Text Char"/>
    <w:basedOn w:val="DefaultParagraphFont"/>
    <w:link w:val="BodyText"/>
    <w:uiPriority w:val="99"/>
    <w:semiHidden/>
    <w:rsid w:val="00EB320D"/>
    <w:rPr>
      <w:rFonts w:ascii="Calibri" w:eastAsia="Times New Roman" w:hAnsi="Calibri" w:cs="Times New Roman"/>
    </w:rPr>
  </w:style>
  <w:style w:type="character" w:customStyle="1" w:styleId="Heading1Char">
    <w:name w:val="Heading 1 Char"/>
    <w:basedOn w:val="DefaultParagraphFont"/>
    <w:link w:val="Heading1"/>
    <w:uiPriority w:val="9"/>
    <w:rsid w:val="00252739"/>
    <w:rPr>
      <w:rFonts w:ascii="Segoe UI" w:eastAsiaTheme="majorEastAsia" w:hAnsi="Segoe UI" w:cstheme="majorBidi"/>
      <w:b/>
      <w:color w:val="2F5496" w:themeColor="accent1" w:themeShade="BF"/>
      <w:sz w:val="36"/>
      <w:szCs w:val="32"/>
    </w:rPr>
  </w:style>
  <w:style w:type="character" w:customStyle="1" w:styleId="Heading2Char">
    <w:name w:val="Heading 2 Char"/>
    <w:basedOn w:val="DefaultParagraphFont"/>
    <w:link w:val="Heading2"/>
    <w:uiPriority w:val="9"/>
    <w:rsid w:val="00252739"/>
    <w:rPr>
      <w:rFonts w:ascii="Segoe UI" w:eastAsiaTheme="majorEastAsia" w:hAnsi="Segoe UI" w:cstheme="majorBidi"/>
      <w:color w:val="2F5496" w:themeColor="accent1" w:themeShade="BF"/>
      <w:sz w:val="32"/>
      <w:szCs w:val="26"/>
    </w:rPr>
  </w:style>
  <w:style w:type="character" w:customStyle="1" w:styleId="Heading3Char">
    <w:name w:val="Heading 3 Char"/>
    <w:basedOn w:val="DefaultParagraphFont"/>
    <w:link w:val="Heading3"/>
    <w:uiPriority w:val="9"/>
    <w:rsid w:val="00252739"/>
    <w:rPr>
      <w:rFonts w:ascii="Segoe UI" w:eastAsiaTheme="majorEastAsia" w:hAnsi="Segoe UI" w:cstheme="majorBidi"/>
      <w:color w:val="1F3763" w:themeColor="accent1" w:themeShade="7F"/>
      <w:sz w:val="28"/>
      <w:szCs w:val="24"/>
    </w:rPr>
  </w:style>
  <w:style w:type="character" w:customStyle="1" w:styleId="Heading4Char">
    <w:name w:val="Heading 4 Char"/>
    <w:basedOn w:val="DefaultParagraphFont"/>
    <w:link w:val="Heading4"/>
    <w:uiPriority w:val="9"/>
    <w:semiHidden/>
    <w:rsid w:val="0025273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5273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5273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5273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527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2739"/>
    <w:rPr>
      <w:rFonts w:asciiTheme="majorHAnsi" w:eastAsiaTheme="majorEastAsia" w:hAnsiTheme="majorHAnsi" w:cstheme="majorBidi"/>
      <w:i/>
      <w:iCs/>
      <w:color w:val="272727" w:themeColor="text1" w:themeTint="D8"/>
      <w:sz w:val="21"/>
      <w:szCs w:val="21"/>
    </w:rPr>
  </w:style>
  <w:style w:type="paragraph" w:styleId="ListParagraph">
    <w:name w:val="List Paragraph"/>
    <w:aliases w:val="Resume Title,Colorful List - Accent 11,List Paragraph_Table bullets,Bullets - level 1,Bullets"/>
    <w:basedOn w:val="Normal"/>
    <w:link w:val="ListParagraphChar"/>
    <w:uiPriority w:val="34"/>
    <w:qFormat/>
    <w:rsid w:val="007B18F3"/>
    <w:pPr>
      <w:spacing w:after="0" w:line="240" w:lineRule="auto"/>
      <w:ind w:left="720"/>
    </w:pPr>
    <w:rPr>
      <w:rFonts w:eastAsiaTheme="minorHAnsi" w:cs="Calibri"/>
    </w:rPr>
  </w:style>
  <w:style w:type="paragraph" w:styleId="NormalWeb">
    <w:name w:val="Normal (Web)"/>
    <w:basedOn w:val="Normal"/>
    <w:uiPriority w:val="99"/>
    <w:unhideWhenUsed/>
    <w:rsid w:val="002F3455"/>
    <w:pPr>
      <w:spacing w:before="100" w:beforeAutospacing="1" w:after="100" w:afterAutospacing="1" w:line="240" w:lineRule="auto"/>
    </w:pPr>
    <w:rPr>
      <w:rFonts w:asciiTheme="minorHAnsi" w:hAnsiTheme="minorHAnsi"/>
      <w:szCs w:val="24"/>
    </w:rPr>
  </w:style>
  <w:style w:type="paragraph" w:styleId="Header">
    <w:name w:val="header"/>
    <w:basedOn w:val="Normal"/>
    <w:link w:val="HeaderChar"/>
    <w:uiPriority w:val="99"/>
    <w:unhideWhenUsed/>
    <w:rsid w:val="00A73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BA"/>
    <w:rPr>
      <w:rFonts w:ascii="Calibri" w:eastAsia="Times New Roman" w:hAnsi="Calibri" w:cs="Times New Roman"/>
    </w:rPr>
  </w:style>
  <w:style w:type="table" w:styleId="TableGrid">
    <w:name w:val="Table Grid"/>
    <w:basedOn w:val="TableNormal"/>
    <w:uiPriority w:val="39"/>
    <w:rsid w:val="006F54A7"/>
    <w:pPr>
      <w:spacing w:after="0" w:line="240" w:lineRule="auto"/>
    </w:pPr>
    <w:rPr>
      <w:rFonts w:ascii="Quattrocento Sans" w:eastAsia="Quattrocento Sans" w:hAnsi="Quattrocento Sans" w:cs="Quattrocento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rmSignatureBold">
    <w:name w:val="Confirm Signature Bold"/>
    <w:basedOn w:val="Normal"/>
    <w:uiPriority w:val="99"/>
    <w:rsid w:val="006F54A7"/>
    <w:pPr>
      <w:spacing w:after="0" w:line="240" w:lineRule="auto"/>
    </w:pPr>
    <w:rPr>
      <w:rFonts w:ascii="Arial" w:hAnsi="Arial" w:cs="Arial"/>
      <w:b/>
      <w:bCs/>
      <w:sz w:val="20"/>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DA11F3"/>
    <w:rPr>
      <w:rFonts w:ascii="Calibri" w:hAnsi="Calibri" w:cs="Calibri"/>
    </w:rPr>
  </w:style>
  <w:style w:type="numbering" w:customStyle="1" w:styleId="CurrentList1">
    <w:name w:val="Current List1"/>
    <w:uiPriority w:val="99"/>
    <w:rsid w:val="00EE58FE"/>
    <w:pPr>
      <w:numPr>
        <w:numId w:val="15"/>
      </w:numPr>
    </w:pPr>
  </w:style>
  <w:style w:type="character" w:styleId="PageNumber">
    <w:name w:val="page number"/>
    <w:basedOn w:val="DefaultParagraphFont"/>
    <w:uiPriority w:val="99"/>
    <w:semiHidden/>
    <w:unhideWhenUsed/>
    <w:rsid w:val="00EE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3044">
      <w:bodyDiv w:val="1"/>
      <w:marLeft w:val="0"/>
      <w:marRight w:val="0"/>
      <w:marTop w:val="0"/>
      <w:marBottom w:val="0"/>
      <w:divBdr>
        <w:top w:val="none" w:sz="0" w:space="0" w:color="auto"/>
        <w:left w:val="none" w:sz="0" w:space="0" w:color="auto"/>
        <w:bottom w:val="none" w:sz="0" w:space="0" w:color="auto"/>
        <w:right w:val="none" w:sz="0" w:space="0" w:color="auto"/>
      </w:divBdr>
    </w:div>
    <w:div w:id="501967650">
      <w:bodyDiv w:val="1"/>
      <w:marLeft w:val="0"/>
      <w:marRight w:val="0"/>
      <w:marTop w:val="0"/>
      <w:marBottom w:val="0"/>
      <w:divBdr>
        <w:top w:val="none" w:sz="0" w:space="0" w:color="auto"/>
        <w:left w:val="none" w:sz="0" w:space="0" w:color="auto"/>
        <w:bottom w:val="none" w:sz="0" w:space="0" w:color="auto"/>
        <w:right w:val="none" w:sz="0" w:space="0" w:color="auto"/>
      </w:divBdr>
    </w:div>
    <w:div w:id="735661102">
      <w:bodyDiv w:val="1"/>
      <w:marLeft w:val="0"/>
      <w:marRight w:val="0"/>
      <w:marTop w:val="0"/>
      <w:marBottom w:val="0"/>
      <w:divBdr>
        <w:top w:val="none" w:sz="0" w:space="0" w:color="auto"/>
        <w:left w:val="none" w:sz="0" w:space="0" w:color="auto"/>
        <w:bottom w:val="none" w:sz="0" w:space="0" w:color="auto"/>
        <w:right w:val="none" w:sz="0" w:space="0" w:color="auto"/>
      </w:divBdr>
    </w:div>
    <w:div w:id="977417450">
      <w:bodyDiv w:val="1"/>
      <w:marLeft w:val="0"/>
      <w:marRight w:val="0"/>
      <w:marTop w:val="0"/>
      <w:marBottom w:val="0"/>
      <w:divBdr>
        <w:top w:val="none" w:sz="0" w:space="0" w:color="auto"/>
        <w:left w:val="none" w:sz="0" w:space="0" w:color="auto"/>
        <w:bottom w:val="none" w:sz="0" w:space="0" w:color="auto"/>
        <w:right w:val="none" w:sz="0" w:space="0" w:color="auto"/>
      </w:divBdr>
    </w:div>
    <w:div w:id="1022166186">
      <w:bodyDiv w:val="1"/>
      <w:marLeft w:val="0"/>
      <w:marRight w:val="0"/>
      <w:marTop w:val="0"/>
      <w:marBottom w:val="0"/>
      <w:divBdr>
        <w:top w:val="none" w:sz="0" w:space="0" w:color="auto"/>
        <w:left w:val="none" w:sz="0" w:space="0" w:color="auto"/>
        <w:bottom w:val="none" w:sz="0" w:space="0" w:color="auto"/>
        <w:right w:val="none" w:sz="0" w:space="0" w:color="auto"/>
      </w:divBdr>
    </w:div>
    <w:div w:id="1305694559">
      <w:bodyDiv w:val="1"/>
      <w:marLeft w:val="0"/>
      <w:marRight w:val="0"/>
      <w:marTop w:val="0"/>
      <w:marBottom w:val="0"/>
      <w:divBdr>
        <w:top w:val="none" w:sz="0" w:space="0" w:color="auto"/>
        <w:left w:val="none" w:sz="0" w:space="0" w:color="auto"/>
        <w:bottom w:val="none" w:sz="0" w:space="0" w:color="auto"/>
        <w:right w:val="none" w:sz="0" w:space="0" w:color="auto"/>
      </w:divBdr>
    </w:div>
    <w:div w:id="1459058524">
      <w:bodyDiv w:val="1"/>
      <w:marLeft w:val="0"/>
      <w:marRight w:val="0"/>
      <w:marTop w:val="0"/>
      <w:marBottom w:val="0"/>
      <w:divBdr>
        <w:top w:val="none" w:sz="0" w:space="0" w:color="auto"/>
        <w:left w:val="none" w:sz="0" w:space="0" w:color="auto"/>
        <w:bottom w:val="none" w:sz="0" w:space="0" w:color="auto"/>
        <w:right w:val="none" w:sz="0" w:space="0" w:color="auto"/>
      </w:divBdr>
    </w:div>
    <w:div w:id="1793283846">
      <w:bodyDiv w:val="1"/>
      <w:marLeft w:val="0"/>
      <w:marRight w:val="0"/>
      <w:marTop w:val="0"/>
      <w:marBottom w:val="0"/>
      <w:divBdr>
        <w:top w:val="none" w:sz="0" w:space="0" w:color="auto"/>
        <w:left w:val="none" w:sz="0" w:space="0" w:color="auto"/>
        <w:bottom w:val="none" w:sz="0" w:space="0" w:color="auto"/>
        <w:right w:val="none" w:sz="0" w:space="0" w:color="auto"/>
      </w:divBdr>
    </w:div>
    <w:div w:id="2057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0CCE48B7E3C4DBF1F2047B67F2630" ma:contentTypeVersion="15" ma:contentTypeDescription="Create a new document." ma:contentTypeScope="" ma:versionID="8ecffc8a07c0206cd3f5fec0c5e5e665">
  <xsd:schema xmlns:xsd="http://www.w3.org/2001/XMLSchema" xmlns:xs="http://www.w3.org/2001/XMLSchema" xmlns:p="http://schemas.microsoft.com/office/2006/metadata/properties" xmlns:ns1="http://schemas.microsoft.com/sharepoint/v3" xmlns:ns2="19cc4ab9-4cac-47ea-8483-ed1ef314fb9f" xmlns:ns3="86e4f0ce-9716-43f7-9800-407bb1d1bb06" targetNamespace="http://schemas.microsoft.com/office/2006/metadata/properties" ma:root="true" ma:fieldsID="afa1dae975fe048ea4924a6a7820b56a" ns1:_="" ns2:_="" ns3:_="">
    <xsd:import namespace="http://schemas.microsoft.com/sharepoint/v3"/>
    <xsd:import namespace="19cc4ab9-4cac-47ea-8483-ed1ef314fb9f"/>
    <xsd:import namespace="86e4f0ce-9716-43f7-9800-407bb1d1b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c4ab9-4cac-47ea-8483-ed1ef314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4f0ce-9716-43f7-9800-407bb1d1b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849F4-023D-4368-8A92-1A8AC574A8F3}">
  <ds:schemaRefs>
    <ds:schemaRef ds:uri="http://schemas.openxmlformats.org/officeDocument/2006/bibliography"/>
  </ds:schemaRefs>
</ds:datastoreItem>
</file>

<file path=customXml/itemProps2.xml><?xml version="1.0" encoding="utf-8"?>
<ds:datastoreItem xmlns:ds="http://schemas.openxmlformats.org/officeDocument/2006/customXml" ds:itemID="{16559B67-DB52-40E4-87B7-7E19EEDF21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005D09-849D-43A7-8153-9FACA7910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cc4ab9-4cac-47ea-8483-ed1ef314fb9f"/>
    <ds:schemaRef ds:uri="86e4f0ce-9716-43f7-9800-407bb1d1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53C92-7B36-4BC5-B0D0-24393ABCA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Danphy Wong</dc:creator>
  <cp:keywords/>
  <dc:description/>
  <cp:lastModifiedBy>John Dalessi</cp:lastModifiedBy>
  <cp:revision>2</cp:revision>
  <cp:lastPrinted>2021-09-09T19:45:00Z</cp:lastPrinted>
  <dcterms:created xsi:type="dcterms:W3CDTF">2022-05-26T16:03:00Z</dcterms:created>
  <dcterms:modified xsi:type="dcterms:W3CDTF">2022-05-26T16:03:00Z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0x010100D480CCE48B7E3C4DBF1F2047B67F2630</vt:lpwstr>
  </property>
</Properties>
</file>